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33B" w:rsidRDefault="009B433B">
      <w:pPr>
        <w:rPr>
          <w:rFonts w:ascii="Roboto" w:eastAsia="Roboto" w:hAnsi="Roboto" w:cs="Roboto"/>
          <w:sz w:val="16"/>
          <w:szCs w:val="16"/>
        </w:rPr>
      </w:pPr>
      <w:bookmarkStart w:id="0" w:name="_GoBack"/>
      <w:bookmarkEnd w:id="0"/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9B433B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9B433B" w:rsidRDefault="00547D5B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9B433B" w:rsidRDefault="00547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9B433B" w:rsidRDefault="00547D5B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9B433B" w:rsidRDefault="00547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9B433B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9B433B" w:rsidRDefault="00547D5B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9B433B" w:rsidRDefault="00547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 xml:space="preserve">Gestión de Patentes y Propiedad Intelectual 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9B433B" w:rsidRDefault="00547D5B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9B433B" w:rsidRDefault="00547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881</w:t>
            </w:r>
          </w:p>
        </w:tc>
      </w:tr>
      <w:tr w:rsidR="009B433B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9B433B" w:rsidRDefault="00547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9B433B" w:rsidRDefault="00547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9B433B" w:rsidRDefault="009B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9B433B" w:rsidRDefault="009B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9B433B" w:rsidRDefault="00547D5B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9B433B" w:rsidRDefault="00547D5B">
      <w:pPr>
        <w:pStyle w:val="Ttulo1"/>
      </w:pPr>
      <w:bookmarkStart w:id="1" w:name="_nddimbltco0o" w:colFirst="0" w:colLast="0"/>
      <w:bookmarkEnd w:id="1"/>
      <w:r>
        <w:t xml:space="preserve">PROGRAMA ANALÍTICO </w:t>
      </w:r>
    </w:p>
    <w:p w:rsidR="009B433B" w:rsidRDefault="00547D5B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2018)</w:t>
      </w:r>
    </w:p>
    <w:p w:rsidR="009B433B" w:rsidRDefault="00547D5B">
      <w:pPr>
        <w:pStyle w:val="Ttulo2"/>
      </w:pPr>
      <w:bookmarkStart w:id="2" w:name="_pwctdo96yeeb" w:colFirst="0" w:colLast="0"/>
      <w:bookmarkEnd w:id="2"/>
      <w:r>
        <w:t>UNIDAD 1</w:t>
      </w:r>
    </w:p>
    <w:p w:rsidR="009B433B" w:rsidRDefault="00547D5B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Justificativos teóricos y económicos de los sistemas de patentes y de propiedad intelectual. Características de los activos intangibles. Bienes públicos, activos no-rivales y no-excluyentes. Los derechos de propiedad como incentivos a la innovación. Otros </w:t>
      </w:r>
      <w:r>
        <w:rPr>
          <w:rFonts w:ascii="Roboto" w:eastAsia="Roboto" w:hAnsi="Roboto" w:cs="Roboto"/>
        </w:rPr>
        <w:t>justificativos: intercambio por información, monopolio como recompensa, derecho natural.</w:t>
      </w:r>
    </w:p>
    <w:p w:rsidR="009B433B" w:rsidRDefault="00547D5B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Patentes de Invención. Condiciones objetivas de patentabilidad. Novedad. Concepto de prioridad. Nivel inventivo. Aplicabilidad industrial. El proceso de patentamiento.</w:t>
      </w:r>
      <w:r>
        <w:rPr>
          <w:rFonts w:ascii="Roboto" w:eastAsia="Roboto" w:hAnsi="Roboto" w:cs="Roboto"/>
        </w:rPr>
        <w:t xml:space="preserve"> Derechos que confiere una patente. Infracción, remedios disponibles. Casos prácticos.</w:t>
      </w:r>
    </w:p>
    <w:p w:rsidR="009B433B" w:rsidRDefault="00547D5B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Tratados internacionales en materia de propiedad industrial e intelectual. Convenio de París: trato nacional, derecho de prioridad. Tratado de Cooperación en materia de </w:t>
      </w:r>
      <w:r>
        <w:rPr>
          <w:rFonts w:ascii="Roboto" w:eastAsia="Roboto" w:hAnsi="Roboto" w:cs="Roboto"/>
        </w:rPr>
        <w:t>Patentes (PCT). Búsqueda preliminar internacional. Examen preliminar internacional. Fases nacionales. Acuerdo de la Ronda Uruguay: ADPIC. Art 4. Trato de la nación más favorecida. Art. 27 Materia patentable. Art. 31 Usos sin autorización, Licencias compuls</w:t>
      </w:r>
      <w:r>
        <w:rPr>
          <w:rFonts w:ascii="Roboto" w:eastAsia="Roboto" w:hAnsi="Roboto" w:cs="Roboto"/>
        </w:rPr>
        <w:t>ivas. Art. 39 Secretos industriales.</w:t>
      </w:r>
    </w:p>
    <w:p w:rsidR="009B433B" w:rsidRDefault="00547D5B">
      <w:pPr>
        <w:pStyle w:val="Ttulo2"/>
      </w:pPr>
      <w:bookmarkStart w:id="3" w:name="_a2tq33kbxz6v" w:colFirst="0" w:colLast="0"/>
      <w:bookmarkEnd w:id="3"/>
      <w:r>
        <w:t>UNIDAD 2</w:t>
      </w:r>
    </w:p>
    <w:p w:rsidR="009B433B" w:rsidRDefault="00547D5B">
      <w:pPr>
        <w:numPr>
          <w:ilvl w:val="0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Patentes como fuente de Información Tecnológica. Cómo leer un documento de patente. Datos bibliográficos. Descripción. Reivindicaciones. Cómo llevar adelante una búsqueda de patentes. Tipos de búsquedas de pate</w:t>
      </w:r>
      <w:r>
        <w:rPr>
          <w:rFonts w:ascii="Roboto" w:eastAsia="Roboto" w:hAnsi="Roboto" w:cs="Roboto"/>
        </w:rPr>
        <w:t>nte. Estado del arte. Análisis de patentabilidad. Libertad de uso, infracción. Validez. Bases de datos disponibles. Casos prácticos.</w:t>
      </w:r>
    </w:p>
    <w:p w:rsidR="009B433B" w:rsidRDefault="00547D5B">
      <w:pPr>
        <w:numPr>
          <w:ilvl w:val="0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Gestión de patentes y propiedad intelectual en proyectos de investigación. Objetivos de la gestión de PI. Estrategias de pr</w:t>
      </w:r>
      <w:r>
        <w:rPr>
          <w:rFonts w:ascii="Roboto" w:eastAsia="Roboto" w:hAnsi="Roboto" w:cs="Roboto"/>
        </w:rPr>
        <w:t>otección en el ámbito del I+D. Tipos de estrategia: defensiva, ofensiva. Cómo diseñar una estrategia de PI. Patentar o no patentar. Secretos industriales como alternativa. Selección de países donde patentar. Costos. Casos prácticos.</w:t>
      </w:r>
    </w:p>
    <w:p w:rsidR="009B433B" w:rsidRDefault="00547D5B">
      <w:pPr>
        <w:pStyle w:val="Ttulo2"/>
      </w:pPr>
      <w:bookmarkStart w:id="4" w:name="_9h8dpdhifeqf" w:colFirst="0" w:colLast="0"/>
      <w:bookmarkEnd w:id="4"/>
      <w:r>
        <w:t>UNIDAD 3</w:t>
      </w:r>
    </w:p>
    <w:p w:rsidR="009B433B" w:rsidRDefault="00547D5B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Función de la </w:t>
      </w:r>
      <w:r>
        <w:rPr>
          <w:rFonts w:ascii="Roboto" w:eastAsia="Roboto" w:hAnsi="Roboto" w:cs="Roboto"/>
        </w:rPr>
        <w:t xml:space="preserve">PI como soporte de la transferencia de tecnología. El uso de la PI en la transferencia de tecnología en organizaciones públicas. El contexto institucional. El </w:t>
      </w:r>
      <w:r>
        <w:rPr>
          <w:rFonts w:ascii="Roboto" w:eastAsia="Roboto" w:hAnsi="Roboto" w:cs="Roboto"/>
        </w:rPr>
        <w:lastRenderedPageBreak/>
        <w:t>contexto organizacional. El contexto individual. Cómo organizar un departamento de patentes en in</w:t>
      </w:r>
      <w:r>
        <w:rPr>
          <w:rFonts w:ascii="Roboto" w:eastAsia="Roboto" w:hAnsi="Roboto" w:cs="Roboto"/>
        </w:rPr>
        <w:t>stituciones públicas o empresa. PI y Mecanismos de transferencia: modelo de servicios, modelo de cooperación, modelo de ingresos.</w:t>
      </w:r>
    </w:p>
    <w:p w:rsidR="009B433B" w:rsidRDefault="00547D5B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PI en los procesos de generación y transferencia de tecnología. Estrategias de protección. Gestión legal de relaciones institu</w:t>
      </w:r>
      <w:r>
        <w:rPr>
          <w:rFonts w:ascii="Roboto" w:eastAsia="Roboto" w:hAnsi="Roboto" w:cs="Roboto"/>
        </w:rPr>
        <w:t>cionales en proyectos de cooperación. Cláusulas de propiedad intelectual en convenios y acuerdos de licencia. Titularidad de propiedad intelectual en investigadores de doble dependencia. Valuación de PI. Relevancia de la PI en la creación de start-ups y la</w:t>
      </w:r>
      <w:r>
        <w:rPr>
          <w:rFonts w:ascii="Roboto" w:eastAsia="Roboto" w:hAnsi="Roboto" w:cs="Roboto"/>
        </w:rPr>
        <w:t xml:space="preserve"> obtención de financiamiento.</w:t>
      </w:r>
    </w:p>
    <w:p w:rsidR="009B433B" w:rsidRDefault="00547D5B">
      <w:pPr>
        <w:pStyle w:val="Ttulo2"/>
      </w:pPr>
      <w:bookmarkStart w:id="5" w:name="_oyzxwx1epkxr" w:colFirst="0" w:colLast="0"/>
      <w:bookmarkEnd w:id="5"/>
      <w:r>
        <w:t>UNIDAD 4</w:t>
      </w:r>
    </w:p>
    <w:p w:rsidR="009B433B" w:rsidRDefault="00547D5B">
      <w:pPr>
        <w:numPr>
          <w:ilvl w:val="0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Gestión de marcas. Ley 22.362. Definiciones. Marcas registrables, denominaciones. Derechos otorgados por el registro. Plazos de duración, validez territorial.</w:t>
      </w:r>
    </w:p>
    <w:p w:rsidR="009B433B" w:rsidRDefault="00547D5B">
      <w:pPr>
        <w:numPr>
          <w:ilvl w:val="0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Gestión de derecho de autor. Ley 11.723. Definiciones. Pla</w:t>
      </w:r>
      <w:r>
        <w:rPr>
          <w:rFonts w:ascii="Roboto" w:eastAsia="Roboto" w:hAnsi="Roboto" w:cs="Roboto"/>
        </w:rPr>
        <w:t>zo de duración. Obras en el dominio público. Registro de la Propiedad Intelectual. Defensas frente al plagio. Cesiones, usos de terceros. Creative Commons, repositorios institucionales.</w:t>
      </w:r>
    </w:p>
    <w:p w:rsidR="009B433B" w:rsidRDefault="00547D5B">
      <w:pPr>
        <w:pStyle w:val="Ttulo2"/>
      </w:pPr>
      <w:bookmarkStart w:id="6" w:name="_5ts89gu6sbfc" w:colFirst="0" w:colLast="0"/>
      <w:bookmarkEnd w:id="6"/>
      <w:r>
        <w:t>BIBLIOGRAFÍA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 w:rsidRPr="0087288C">
        <w:rPr>
          <w:rFonts w:ascii="Roboto" w:eastAsia="Roboto" w:hAnsi="Roboto" w:cs="Roboto"/>
          <w:lang w:val="en-US"/>
        </w:rPr>
        <w:t>An Economic View of the Patent System, Study of the Subco</w:t>
      </w:r>
      <w:r w:rsidRPr="0087288C">
        <w:rPr>
          <w:rFonts w:ascii="Roboto" w:eastAsia="Roboto" w:hAnsi="Roboto" w:cs="Roboto"/>
          <w:lang w:val="en-US"/>
        </w:rPr>
        <w:t xml:space="preserve">mmittee on Patents, Trademarks and Copyrights of the US, 85th Congress Session. </w:t>
      </w:r>
      <w:r>
        <w:rPr>
          <w:rFonts w:ascii="Roboto" w:eastAsia="Roboto" w:hAnsi="Roboto" w:cs="Roboto"/>
        </w:rPr>
        <w:t>S. Res. 236, Study No. 15. Washington 1958.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 w:rsidRPr="0087288C">
        <w:rPr>
          <w:rFonts w:ascii="Roboto" w:eastAsia="Roboto" w:hAnsi="Roboto" w:cs="Roboto"/>
          <w:lang w:val="en-US"/>
        </w:rPr>
        <w:t xml:space="preserve">S. Ghosh; Patents and the Regulatory State: Rethinking the Patent Bargain Methaphor alter Elred. </w:t>
      </w:r>
      <w:r>
        <w:rPr>
          <w:rFonts w:ascii="Roboto" w:eastAsia="Roboto" w:hAnsi="Roboto" w:cs="Roboto"/>
        </w:rPr>
        <w:t>Berkeley Technology Law Hournal, Vo</w:t>
      </w:r>
      <w:r>
        <w:rPr>
          <w:rFonts w:ascii="Roboto" w:eastAsia="Roboto" w:hAnsi="Roboto" w:cs="Roboto"/>
        </w:rPr>
        <w:t>l. 19. Issue 4. 2004.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Informe sobre la propiedad intelectual en el mundo, Los nuevos parámetros de la innovación. Publicación de la OMPI Nº 944S/11. Ginebra, 2011.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Principales Tratados en Materia de Propiedad Industrial Administrados por la OMPU. Oficina I</w:t>
      </w:r>
      <w:r>
        <w:rPr>
          <w:rFonts w:ascii="Roboto" w:eastAsia="Roboto" w:hAnsi="Roboto" w:cs="Roboto"/>
        </w:rPr>
        <w:t>nternacional de la OMPI. Ginebra, Suiza, 1993.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Recomendación de la Comisión Europea sobre la gestión de la propiedad intelectual en las actividades de transferencia de conocimientos y Código de buenas prácticas para las universidades y otros organismos púb</w:t>
      </w:r>
      <w:r>
        <w:rPr>
          <w:rFonts w:ascii="Roboto" w:eastAsia="Roboto" w:hAnsi="Roboto" w:cs="Roboto"/>
        </w:rPr>
        <w:t>licos de investigación (2008/416/CE) 10 de abril de 2008.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Transferencia de Tecnología, Comité Permanente Sobre el Derecho de Patentes, OMPI, Organización Mundial de la Propiedad Intelectual, Diciembre 2009.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M. Correa, La Elaboración de una Política Inst</w:t>
      </w:r>
      <w:r>
        <w:rPr>
          <w:rFonts w:ascii="Roboto" w:eastAsia="Roboto" w:hAnsi="Roboto" w:cs="Roboto"/>
        </w:rPr>
        <w:t>itucional de Propiedad Industrial y de Transferencia de Tecnología, Reunión Regional OMPI-CEPAL de Expertos Sobre el Sistema Nacional de Innovación: Propiedad Intelectual, Universidad y Empresa, Organización Mundial de la Propiedad Intelectual, Octubre 200</w:t>
      </w:r>
      <w:r>
        <w:rPr>
          <w:rFonts w:ascii="Roboto" w:eastAsia="Roboto" w:hAnsi="Roboto" w:cs="Roboto"/>
        </w:rPr>
        <w:t>3.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Guía de Buenas Prácticas para la Búsqueda de Información en Patentes. PIPRA, Programa FIA-PIPRA, Universidad California Davis, 2010.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lastRenderedPageBreak/>
        <w:t>Las Patentes: Fuente de Información Tecnológica – Introducción. Publicación de la OMPI N° L434/2(S). Ginebra, 2013.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Convenio de París para la Protección de la Propiedad Industrial, 20 de marzo de 1883.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Organización Mundial de Comercio. Acta Final de la Ronda de Uruguay. Acuerdo sobre los Aspectos de Derecho de Propiedad Intelectual relacionados con el Comercio. (ADPIC) </w:t>
      </w:r>
      <w:r>
        <w:rPr>
          <w:rFonts w:ascii="Roboto" w:eastAsia="Roboto" w:hAnsi="Roboto" w:cs="Roboto"/>
        </w:rPr>
        <w:t>1994.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Guía del solicitante del PCT – Fase Internacional. Organización Mundial de la Propiedad Intelectual. Junio 2014.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Ley N° 24.481 "Ley de Patentes de Invención y Modelos de Utilidad", modificada por la Ley 24.572 T.O. 1996 - B.O. 22/3/96.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Ley No 22.362 </w:t>
      </w:r>
      <w:r>
        <w:rPr>
          <w:rFonts w:ascii="Roboto" w:eastAsia="Roboto" w:hAnsi="Roboto" w:cs="Roboto"/>
        </w:rPr>
        <w:t>"Ley de Marcas" y Decretos Reglamentarios (558/81 y 1141/03).</w:t>
      </w:r>
    </w:p>
    <w:p w:rsidR="009B433B" w:rsidRDefault="00547D5B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Ley No 11.723 "Régimen Legal de la Propiedad Intelectual" (Ley de Derechos de Autor).</w:t>
      </w:r>
    </w:p>
    <w:p w:rsidR="009B433B" w:rsidRDefault="009B433B">
      <w:pPr>
        <w:spacing w:after="80" w:line="273" w:lineRule="auto"/>
        <w:ind w:left="720"/>
        <w:rPr>
          <w:rFonts w:ascii="Roboto" w:eastAsia="Roboto" w:hAnsi="Roboto" w:cs="Roboto"/>
        </w:rPr>
      </w:pPr>
    </w:p>
    <w:p w:rsidR="009B433B" w:rsidRDefault="009B433B">
      <w:pPr>
        <w:spacing w:after="80" w:line="273" w:lineRule="auto"/>
        <w:rPr>
          <w:rFonts w:ascii="Roboto" w:eastAsia="Roboto" w:hAnsi="Roboto" w:cs="Roboto"/>
        </w:rPr>
      </w:pPr>
    </w:p>
    <w:sectPr w:rsidR="009B433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D5B" w:rsidRDefault="00547D5B">
      <w:pPr>
        <w:spacing w:line="240" w:lineRule="auto"/>
      </w:pPr>
      <w:r>
        <w:separator/>
      </w:r>
    </w:p>
  </w:endnote>
  <w:endnote w:type="continuationSeparator" w:id="0">
    <w:p w:rsidR="00547D5B" w:rsidRDefault="00547D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433B" w:rsidRDefault="00547D5B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87288C">
      <w:rPr>
        <w:rFonts w:ascii="Roboto" w:eastAsia="Roboto" w:hAnsi="Roboto" w:cs="Roboto"/>
        <w:color w:val="16A085"/>
      </w:rPr>
      <w:fldChar w:fldCharType="separate"/>
    </w:r>
    <w:r w:rsidR="0087288C">
      <w:rPr>
        <w:rFonts w:ascii="Roboto" w:eastAsia="Roboto" w:hAnsi="Roboto" w:cs="Roboto"/>
        <w:noProof/>
        <w:color w:val="16A085"/>
      </w:rPr>
      <w:t>3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433B" w:rsidRDefault="00547D5B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D5B" w:rsidRDefault="00547D5B">
      <w:pPr>
        <w:spacing w:line="240" w:lineRule="auto"/>
      </w:pPr>
      <w:r>
        <w:separator/>
      </w:r>
    </w:p>
  </w:footnote>
  <w:footnote w:type="continuationSeparator" w:id="0">
    <w:p w:rsidR="00547D5B" w:rsidRDefault="00547D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433B" w:rsidRDefault="009B433B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9B433B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9B433B" w:rsidRDefault="00547D5B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9B433B" w:rsidRDefault="00547D5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9B433B" w:rsidRDefault="00547D5B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9B433B" w:rsidRDefault="00547D5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9B433B" w:rsidRDefault="00547D5B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9B433B" w:rsidRDefault="00547D5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9B433B" w:rsidRDefault="00547D5B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433B" w:rsidRDefault="009B433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41789"/>
    <w:multiLevelType w:val="multilevel"/>
    <w:tmpl w:val="2BE6716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56C47B7"/>
    <w:multiLevelType w:val="multilevel"/>
    <w:tmpl w:val="F5184DE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6610A8D"/>
    <w:multiLevelType w:val="multilevel"/>
    <w:tmpl w:val="070EEBAC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BAE69C1"/>
    <w:multiLevelType w:val="multilevel"/>
    <w:tmpl w:val="9A120E3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D2A2044"/>
    <w:multiLevelType w:val="multilevel"/>
    <w:tmpl w:val="EF286FD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33B"/>
    <w:rsid w:val="00547D5B"/>
    <w:rsid w:val="0087288C"/>
    <w:rsid w:val="009B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9BB5F2-1ABE-4EB0-89A4-FACFD9CC5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2</cp:revision>
  <dcterms:created xsi:type="dcterms:W3CDTF">2019-03-10T21:38:00Z</dcterms:created>
  <dcterms:modified xsi:type="dcterms:W3CDTF">2019-03-10T21:38:00Z</dcterms:modified>
</cp:coreProperties>
</file>