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DB9" w:rsidRDefault="00466DB9">
      <w:pPr>
        <w:rPr>
          <w:rFonts w:ascii="Roboto" w:eastAsia="Roboto" w:hAnsi="Roboto" w:cs="Roboto"/>
          <w:sz w:val="16"/>
          <w:szCs w:val="16"/>
        </w:rPr>
      </w:pPr>
      <w:bookmarkStart w:id="0" w:name="_GoBack"/>
      <w:bookmarkEnd w:id="0"/>
    </w:p>
    <w:tbl>
      <w:tblPr>
        <w:tblStyle w:val="a"/>
        <w:tblW w:w="9630" w:type="dxa"/>
        <w:jc w:val="center"/>
        <w:tblInd w:w="0" w:type="dxa"/>
        <w:tblLayout w:type="fixed"/>
        <w:tblLook w:val="0600" w:firstRow="0" w:lastRow="0" w:firstColumn="0" w:lastColumn="0" w:noHBand="1" w:noVBand="1"/>
      </w:tblPr>
      <w:tblGrid>
        <w:gridCol w:w="1710"/>
        <w:gridCol w:w="5865"/>
        <w:gridCol w:w="855"/>
        <w:gridCol w:w="1200"/>
      </w:tblGrid>
      <w:tr w:rsidR="00466DB9">
        <w:trPr>
          <w:jc w:val="center"/>
        </w:trPr>
        <w:tc>
          <w:tcPr>
            <w:tcW w:w="1710" w:type="dxa"/>
            <w:shd w:val="clear" w:color="auto" w:fill="auto"/>
            <w:tcMar>
              <w:top w:w="51" w:type="dxa"/>
              <w:left w:w="51" w:type="dxa"/>
              <w:bottom w:w="51" w:type="dxa"/>
              <w:right w:w="51" w:type="dxa"/>
            </w:tcMar>
            <w:vAlign w:val="center"/>
          </w:tcPr>
          <w:p w:rsidR="00466DB9" w:rsidRDefault="00AD05DE">
            <w:pPr>
              <w:jc w:val="right"/>
              <w:rPr>
                <w:rFonts w:ascii="Roboto" w:eastAsia="Roboto" w:hAnsi="Roboto" w:cs="Roboto"/>
                <w:b/>
                <w:color w:val="16A085"/>
                <w:sz w:val="24"/>
                <w:szCs w:val="24"/>
              </w:rPr>
            </w:pPr>
            <w:r>
              <w:rPr>
                <w:rFonts w:ascii="Roboto" w:eastAsia="Roboto" w:hAnsi="Roboto" w:cs="Roboto"/>
                <w:b/>
                <w:color w:val="16A085"/>
                <w:sz w:val="24"/>
                <w:szCs w:val="24"/>
              </w:rPr>
              <w:t>CARRERA</w:t>
            </w:r>
          </w:p>
        </w:tc>
        <w:tc>
          <w:tcPr>
            <w:tcW w:w="5865" w:type="dxa"/>
            <w:shd w:val="clear" w:color="auto" w:fill="auto"/>
            <w:tcMar>
              <w:top w:w="51" w:type="dxa"/>
              <w:left w:w="51" w:type="dxa"/>
              <w:bottom w:w="51" w:type="dxa"/>
              <w:right w:w="51" w:type="dxa"/>
            </w:tcMar>
            <w:vAlign w:val="center"/>
          </w:tcPr>
          <w:p w:rsidR="00466DB9" w:rsidRDefault="00AD05DE">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Ingeniería Química</w:t>
            </w:r>
          </w:p>
        </w:tc>
        <w:tc>
          <w:tcPr>
            <w:tcW w:w="855" w:type="dxa"/>
            <w:shd w:val="clear" w:color="auto" w:fill="auto"/>
            <w:tcMar>
              <w:top w:w="51" w:type="dxa"/>
              <w:left w:w="51" w:type="dxa"/>
              <w:bottom w:w="51" w:type="dxa"/>
              <w:right w:w="51" w:type="dxa"/>
            </w:tcMar>
            <w:vAlign w:val="center"/>
          </w:tcPr>
          <w:p w:rsidR="00466DB9" w:rsidRDefault="00AD05DE">
            <w:pPr>
              <w:jc w:val="right"/>
              <w:rPr>
                <w:rFonts w:ascii="Roboto" w:eastAsia="Roboto" w:hAnsi="Roboto" w:cs="Roboto"/>
                <w:b/>
                <w:color w:val="16A085"/>
                <w:sz w:val="24"/>
                <w:szCs w:val="24"/>
              </w:rPr>
            </w:pPr>
            <w:r>
              <w:rPr>
                <w:rFonts w:ascii="Roboto" w:eastAsia="Roboto" w:hAnsi="Roboto" w:cs="Roboto"/>
                <w:b/>
                <w:color w:val="16A085"/>
                <w:sz w:val="24"/>
                <w:szCs w:val="24"/>
              </w:rPr>
              <w:t>PLAN</w:t>
            </w:r>
          </w:p>
        </w:tc>
        <w:tc>
          <w:tcPr>
            <w:tcW w:w="1200" w:type="dxa"/>
            <w:shd w:val="clear" w:color="auto" w:fill="auto"/>
            <w:tcMar>
              <w:top w:w="51" w:type="dxa"/>
              <w:left w:w="51" w:type="dxa"/>
              <w:bottom w:w="51" w:type="dxa"/>
              <w:right w:w="51" w:type="dxa"/>
            </w:tcMar>
            <w:vAlign w:val="center"/>
          </w:tcPr>
          <w:p w:rsidR="00466DB9" w:rsidRDefault="00AD05DE">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2003</w:t>
            </w:r>
          </w:p>
        </w:tc>
      </w:tr>
      <w:tr w:rsidR="00466DB9">
        <w:trPr>
          <w:jc w:val="center"/>
        </w:trPr>
        <w:tc>
          <w:tcPr>
            <w:tcW w:w="1710" w:type="dxa"/>
            <w:shd w:val="clear" w:color="auto" w:fill="auto"/>
            <w:tcMar>
              <w:top w:w="51" w:type="dxa"/>
              <w:left w:w="51" w:type="dxa"/>
              <w:bottom w:w="51" w:type="dxa"/>
              <w:right w:w="51" w:type="dxa"/>
            </w:tcMar>
            <w:vAlign w:val="center"/>
          </w:tcPr>
          <w:p w:rsidR="00466DB9" w:rsidRDefault="00AD05DE">
            <w:pPr>
              <w:jc w:val="right"/>
              <w:rPr>
                <w:rFonts w:ascii="Roboto" w:eastAsia="Roboto" w:hAnsi="Roboto" w:cs="Roboto"/>
                <w:b/>
                <w:color w:val="16A085"/>
                <w:sz w:val="24"/>
                <w:szCs w:val="24"/>
              </w:rPr>
            </w:pPr>
            <w:r>
              <w:rPr>
                <w:rFonts w:ascii="Roboto" w:eastAsia="Roboto" w:hAnsi="Roboto" w:cs="Roboto"/>
                <w:b/>
                <w:color w:val="16A085"/>
                <w:sz w:val="24"/>
                <w:szCs w:val="24"/>
              </w:rPr>
              <w:t>ASIGNATURA</w:t>
            </w:r>
          </w:p>
        </w:tc>
        <w:tc>
          <w:tcPr>
            <w:tcW w:w="5865" w:type="dxa"/>
            <w:shd w:val="clear" w:color="auto" w:fill="auto"/>
            <w:tcMar>
              <w:top w:w="51" w:type="dxa"/>
              <w:left w:w="51" w:type="dxa"/>
              <w:bottom w:w="51" w:type="dxa"/>
              <w:right w:w="51" w:type="dxa"/>
            </w:tcMar>
            <w:vAlign w:val="center"/>
          </w:tcPr>
          <w:p w:rsidR="00466DB9" w:rsidRDefault="00AD05DE">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Mecanismos de Integración Económica</w:t>
            </w:r>
          </w:p>
        </w:tc>
        <w:tc>
          <w:tcPr>
            <w:tcW w:w="855" w:type="dxa"/>
            <w:shd w:val="clear" w:color="auto" w:fill="auto"/>
            <w:tcMar>
              <w:top w:w="51" w:type="dxa"/>
              <w:left w:w="51" w:type="dxa"/>
              <w:bottom w:w="51" w:type="dxa"/>
              <w:right w:w="51" w:type="dxa"/>
            </w:tcMar>
            <w:vAlign w:val="center"/>
          </w:tcPr>
          <w:p w:rsidR="00466DB9" w:rsidRDefault="00AD05DE">
            <w:pPr>
              <w:jc w:val="right"/>
              <w:rPr>
                <w:rFonts w:ascii="Roboto" w:eastAsia="Roboto" w:hAnsi="Roboto" w:cs="Roboto"/>
                <w:b/>
                <w:color w:val="16A085"/>
                <w:sz w:val="24"/>
                <w:szCs w:val="24"/>
              </w:rPr>
            </w:pPr>
            <w:r>
              <w:rPr>
                <w:rFonts w:ascii="Roboto" w:eastAsia="Roboto" w:hAnsi="Roboto" w:cs="Roboto"/>
                <w:b/>
                <w:color w:val="16A085"/>
                <w:sz w:val="24"/>
                <w:szCs w:val="24"/>
              </w:rPr>
              <w:t>COD.</w:t>
            </w:r>
          </w:p>
        </w:tc>
        <w:tc>
          <w:tcPr>
            <w:tcW w:w="1200" w:type="dxa"/>
            <w:shd w:val="clear" w:color="auto" w:fill="auto"/>
            <w:tcMar>
              <w:top w:w="51" w:type="dxa"/>
              <w:left w:w="51" w:type="dxa"/>
              <w:bottom w:w="51" w:type="dxa"/>
              <w:right w:w="51" w:type="dxa"/>
            </w:tcMar>
            <w:vAlign w:val="center"/>
          </w:tcPr>
          <w:p w:rsidR="00466DB9" w:rsidRDefault="00AD05DE">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840</w:t>
            </w:r>
          </w:p>
        </w:tc>
      </w:tr>
      <w:tr w:rsidR="00466DB9">
        <w:trPr>
          <w:jc w:val="center"/>
        </w:trPr>
        <w:tc>
          <w:tcPr>
            <w:tcW w:w="1710" w:type="dxa"/>
            <w:shd w:val="clear" w:color="auto" w:fill="auto"/>
            <w:tcMar>
              <w:top w:w="51" w:type="dxa"/>
              <w:left w:w="51" w:type="dxa"/>
              <w:bottom w:w="51" w:type="dxa"/>
              <w:right w:w="51" w:type="dxa"/>
            </w:tcMar>
            <w:vAlign w:val="center"/>
          </w:tcPr>
          <w:p w:rsidR="00466DB9" w:rsidRDefault="00AD05DE">
            <w:pPr>
              <w:widowControl w:val="0"/>
              <w:pBdr>
                <w:top w:val="nil"/>
                <w:left w:val="nil"/>
                <w:bottom w:val="nil"/>
                <w:right w:val="nil"/>
                <w:between w:val="nil"/>
              </w:pBdr>
              <w:spacing w:line="240" w:lineRule="auto"/>
              <w:jc w:val="right"/>
              <w:rPr>
                <w:rFonts w:ascii="Roboto" w:eastAsia="Roboto" w:hAnsi="Roboto" w:cs="Roboto"/>
                <w:b/>
                <w:color w:val="16A085"/>
                <w:sz w:val="24"/>
                <w:szCs w:val="24"/>
              </w:rPr>
            </w:pPr>
            <w:r>
              <w:rPr>
                <w:rFonts w:ascii="Roboto" w:eastAsia="Roboto" w:hAnsi="Roboto" w:cs="Roboto"/>
                <w:b/>
                <w:color w:val="16A085"/>
                <w:sz w:val="24"/>
                <w:szCs w:val="24"/>
              </w:rPr>
              <w:t>TIPO</w:t>
            </w:r>
          </w:p>
        </w:tc>
        <w:tc>
          <w:tcPr>
            <w:tcW w:w="5865" w:type="dxa"/>
            <w:shd w:val="clear" w:color="auto" w:fill="auto"/>
            <w:tcMar>
              <w:top w:w="51" w:type="dxa"/>
              <w:left w:w="51" w:type="dxa"/>
              <w:bottom w:w="51" w:type="dxa"/>
              <w:right w:w="51" w:type="dxa"/>
            </w:tcMar>
            <w:vAlign w:val="center"/>
          </w:tcPr>
          <w:p w:rsidR="00466DB9" w:rsidRDefault="00AD05DE">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Optativa</w:t>
            </w:r>
          </w:p>
        </w:tc>
        <w:tc>
          <w:tcPr>
            <w:tcW w:w="855" w:type="dxa"/>
            <w:shd w:val="clear" w:color="auto" w:fill="auto"/>
            <w:tcMar>
              <w:top w:w="51" w:type="dxa"/>
              <w:left w:w="51" w:type="dxa"/>
              <w:bottom w:w="51" w:type="dxa"/>
              <w:right w:w="51" w:type="dxa"/>
            </w:tcMar>
            <w:vAlign w:val="center"/>
          </w:tcPr>
          <w:p w:rsidR="00466DB9" w:rsidRDefault="00466DB9">
            <w:pPr>
              <w:widowControl w:val="0"/>
              <w:pBdr>
                <w:top w:val="nil"/>
                <w:left w:val="nil"/>
                <w:bottom w:val="nil"/>
                <w:right w:val="nil"/>
                <w:between w:val="nil"/>
              </w:pBdr>
              <w:spacing w:line="240" w:lineRule="auto"/>
              <w:jc w:val="left"/>
              <w:rPr>
                <w:rFonts w:ascii="Roboto" w:eastAsia="Roboto" w:hAnsi="Roboto" w:cs="Roboto"/>
                <w:sz w:val="24"/>
                <w:szCs w:val="24"/>
              </w:rPr>
            </w:pPr>
          </w:p>
        </w:tc>
        <w:tc>
          <w:tcPr>
            <w:tcW w:w="1200" w:type="dxa"/>
            <w:shd w:val="clear" w:color="auto" w:fill="auto"/>
            <w:tcMar>
              <w:top w:w="51" w:type="dxa"/>
              <w:left w:w="51" w:type="dxa"/>
              <w:bottom w:w="51" w:type="dxa"/>
              <w:right w:w="51" w:type="dxa"/>
            </w:tcMar>
            <w:vAlign w:val="center"/>
          </w:tcPr>
          <w:p w:rsidR="00466DB9" w:rsidRDefault="00466DB9">
            <w:pPr>
              <w:widowControl w:val="0"/>
              <w:pBdr>
                <w:top w:val="nil"/>
                <w:left w:val="nil"/>
                <w:bottom w:val="nil"/>
                <w:right w:val="nil"/>
                <w:between w:val="nil"/>
              </w:pBdr>
              <w:spacing w:line="240" w:lineRule="auto"/>
              <w:jc w:val="left"/>
              <w:rPr>
                <w:rFonts w:ascii="Roboto" w:eastAsia="Roboto" w:hAnsi="Roboto" w:cs="Roboto"/>
                <w:sz w:val="24"/>
                <w:szCs w:val="24"/>
              </w:rPr>
            </w:pPr>
          </w:p>
        </w:tc>
      </w:tr>
    </w:tbl>
    <w:p w:rsidR="00466DB9" w:rsidRDefault="00AD05DE">
      <w:pPr>
        <w:rPr>
          <w:rFonts w:ascii="Roboto" w:eastAsia="Roboto" w:hAnsi="Roboto" w:cs="Roboto"/>
        </w:rPr>
      </w:pPr>
      <w:r>
        <w:pict>
          <v:rect id="_x0000_i1025" style="width:0;height:1.5pt" o:hralign="center" o:hrstd="t" o:hr="t" fillcolor="#a0a0a0" stroked="f"/>
        </w:pict>
      </w:r>
    </w:p>
    <w:p w:rsidR="00466DB9" w:rsidRDefault="00AD05DE">
      <w:pPr>
        <w:pStyle w:val="Ttulo1"/>
      </w:pPr>
      <w:bookmarkStart w:id="1" w:name="_nddimbltco0o" w:colFirst="0" w:colLast="0"/>
      <w:bookmarkEnd w:id="1"/>
      <w:r>
        <w:t xml:space="preserve">PROGRAMA ANALÍTICO </w:t>
      </w:r>
    </w:p>
    <w:p w:rsidR="00466DB9" w:rsidRDefault="00AD05DE">
      <w:pPr>
        <w:jc w:val="center"/>
        <w:rPr>
          <w:rFonts w:ascii="Roboto" w:eastAsia="Roboto" w:hAnsi="Roboto" w:cs="Roboto"/>
          <w:sz w:val="20"/>
          <w:szCs w:val="20"/>
        </w:rPr>
      </w:pPr>
      <w:r>
        <w:rPr>
          <w:rFonts w:ascii="Roboto" w:eastAsia="Roboto" w:hAnsi="Roboto" w:cs="Roboto"/>
          <w:sz w:val="20"/>
          <w:szCs w:val="20"/>
        </w:rPr>
        <w:t>(A partir del Ciclo Lectivo 2017)</w:t>
      </w:r>
    </w:p>
    <w:p w:rsidR="00466DB9" w:rsidRDefault="00AD05DE">
      <w:pPr>
        <w:pStyle w:val="Ttulo2"/>
      </w:pPr>
      <w:bookmarkStart w:id="2" w:name="_gwd99m23y8i9" w:colFirst="0" w:colLast="0"/>
      <w:bookmarkEnd w:id="2"/>
      <w:r>
        <w:t>MÓDULO I: La Argentina y el comercio mundial</w:t>
      </w:r>
    </w:p>
    <w:p w:rsidR="00466DB9" w:rsidRDefault="00AD05DE">
      <w:pPr>
        <w:numPr>
          <w:ilvl w:val="0"/>
          <w:numId w:val="2"/>
        </w:numPr>
        <w:rPr>
          <w:rFonts w:ascii="Roboto" w:eastAsia="Roboto" w:hAnsi="Roboto" w:cs="Roboto"/>
        </w:rPr>
      </w:pPr>
      <w:r>
        <w:rPr>
          <w:rFonts w:ascii="Roboto" w:eastAsia="Roboto" w:hAnsi="Roboto" w:cs="Roboto"/>
        </w:rPr>
        <w:t xml:space="preserve">Antecedentes de los inicios del comercio exterior argentino. Los años prósperos. El cierre de la economía. El fin de la etapa liberal. La depresión de los años ‘30. La Segunda Guerra Mundial. La sustitución de importaciones. El proteccionismo. La política </w:t>
      </w:r>
      <w:r>
        <w:rPr>
          <w:rFonts w:ascii="Roboto" w:eastAsia="Roboto" w:hAnsi="Roboto" w:cs="Roboto"/>
        </w:rPr>
        <w:t>cambiaria.</w:t>
      </w:r>
    </w:p>
    <w:p w:rsidR="00466DB9" w:rsidRDefault="00AD05DE">
      <w:pPr>
        <w:numPr>
          <w:ilvl w:val="0"/>
          <w:numId w:val="2"/>
        </w:numPr>
        <w:rPr>
          <w:rFonts w:ascii="Roboto" w:eastAsia="Roboto" w:hAnsi="Roboto" w:cs="Roboto"/>
        </w:rPr>
      </w:pPr>
      <w:r>
        <w:rPr>
          <w:rFonts w:ascii="Roboto" w:eastAsia="Roboto" w:hAnsi="Roboto" w:cs="Roboto"/>
        </w:rPr>
        <w:t>El regreso al mercado. El proceso de reorganización nacional y el modelo agroexportador. La economía luego de la dictadura. El regreso a la democracia y los intentos estabilizadores de la economía nacional. La etapa neoliberal y la convertibilid</w:t>
      </w:r>
      <w:r>
        <w:rPr>
          <w:rFonts w:ascii="Roboto" w:eastAsia="Roboto" w:hAnsi="Roboto" w:cs="Roboto"/>
        </w:rPr>
        <w:t>ad. Las inversiones extranjeras directas. La crisis argentina de 2001. Los cambios en América Latina. La globalización.</w:t>
      </w:r>
    </w:p>
    <w:p w:rsidR="00466DB9" w:rsidRDefault="00AD05DE">
      <w:pPr>
        <w:numPr>
          <w:ilvl w:val="0"/>
          <w:numId w:val="2"/>
        </w:numPr>
        <w:rPr>
          <w:rFonts w:ascii="Roboto" w:eastAsia="Roboto" w:hAnsi="Roboto" w:cs="Roboto"/>
        </w:rPr>
      </w:pPr>
      <w:r>
        <w:rPr>
          <w:rFonts w:ascii="Roboto" w:eastAsia="Roboto" w:hAnsi="Roboto" w:cs="Roboto"/>
        </w:rPr>
        <w:t>El GATT. Origen y estructura. La Argentina y la Organización Mundial del Comercio. El problema de las exportaciones en la Argentina. Los</w:t>
      </w:r>
      <w:r>
        <w:rPr>
          <w:rFonts w:ascii="Roboto" w:eastAsia="Roboto" w:hAnsi="Roboto" w:cs="Roboto"/>
        </w:rPr>
        <w:t xml:space="preserve"> cambios en la industria. Políticas activas de exportación. La Ronda Uruguay.</w:t>
      </w:r>
    </w:p>
    <w:p w:rsidR="00466DB9" w:rsidRDefault="00AD05DE">
      <w:pPr>
        <w:pStyle w:val="Ttulo2"/>
      </w:pPr>
      <w:bookmarkStart w:id="3" w:name="_vcvw3k5casuv" w:colFirst="0" w:colLast="0"/>
      <w:bookmarkEnd w:id="3"/>
      <w:r>
        <w:t>MÓDULO II: La integración política, social y económica</w:t>
      </w:r>
    </w:p>
    <w:p w:rsidR="00466DB9" w:rsidRDefault="00AD05DE">
      <w:pPr>
        <w:numPr>
          <w:ilvl w:val="0"/>
          <w:numId w:val="2"/>
        </w:numPr>
        <w:pBdr>
          <w:top w:val="nil"/>
          <w:left w:val="nil"/>
          <w:bottom w:val="nil"/>
          <w:right w:val="nil"/>
          <w:between w:val="nil"/>
        </w:pBdr>
        <w:rPr>
          <w:rFonts w:ascii="Roboto" w:eastAsia="Roboto" w:hAnsi="Roboto" w:cs="Roboto"/>
        </w:rPr>
      </w:pPr>
      <w:r>
        <w:rPr>
          <w:rFonts w:ascii="Roboto" w:eastAsia="Roboto" w:hAnsi="Roboto" w:cs="Roboto"/>
        </w:rPr>
        <w:t>Distintos esquemas de cooperación e integración. Clasificación. Antecedentes. El mundo dividido en bloques de comercio. Uni</w:t>
      </w:r>
      <w:r>
        <w:rPr>
          <w:rFonts w:ascii="Roboto" w:eastAsia="Roboto" w:hAnsi="Roboto" w:cs="Roboto"/>
        </w:rPr>
        <w:t>ón Europea, NAFTA, Pacífico Asiático. Objetivos, tratados y estructuras orgánicas.</w:t>
      </w:r>
    </w:p>
    <w:p w:rsidR="00466DB9" w:rsidRDefault="00AD05DE">
      <w:pPr>
        <w:numPr>
          <w:ilvl w:val="0"/>
          <w:numId w:val="2"/>
        </w:numPr>
        <w:pBdr>
          <w:top w:val="nil"/>
          <w:left w:val="nil"/>
          <w:bottom w:val="nil"/>
          <w:right w:val="nil"/>
          <w:between w:val="nil"/>
        </w:pBdr>
        <w:rPr>
          <w:rFonts w:ascii="Roboto" w:eastAsia="Roboto" w:hAnsi="Roboto" w:cs="Roboto"/>
        </w:rPr>
      </w:pPr>
      <w:r>
        <w:rPr>
          <w:rFonts w:ascii="Roboto" w:eastAsia="Roboto" w:hAnsi="Roboto" w:cs="Roboto"/>
        </w:rPr>
        <w:t>La integración en América Latina. Antecedentes históricos. Acuerdos Bilaterales. ALALC. Motivos de la integración. Características y causas del fracaso. Formación de ALADI y</w:t>
      </w:r>
      <w:r>
        <w:rPr>
          <w:rFonts w:ascii="Roboto" w:eastAsia="Roboto" w:hAnsi="Roboto" w:cs="Roboto"/>
        </w:rPr>
        <w:t xml:space="preserve"> sus resultados.</w:t>
      </w:r>
    </w:p>
    <w:p w:rsidR="00466DB9" w:rsidRDefault="00AD05DE">
      <w:pPr>
        <w:numPr>
          <w:ilvl w:val="0"/>
          <w:numId w:val="2"/>
        </w:numPr>
        <w:pBdr>
          <w:top w:val="nil"/>
          <w:left w:val="nil"/>
          <w:bottom w:val="nil"/>
          <w:right w:val="nil"/>
          <w:between w:val="nil"/>
        </w:pBdr>
        <w:rPr>
          <w:rFonts w:ascii="Roboto" w:eastAsia="Roboto" w:hAnsi="Roboto" w:cs="Roboto"/>
        </w:rPr>
      </w:pPr>
      <w:r>
        <w:rPr>
          <w:rFonts w:ascii="Roboto" w:eastAsia="Roboto" w:hAnsi="Roboto" w:cs="Roboto"/>
        </w:rPr>
        <w:t>El MERCOSUR. Antecedentes. Objetivos. Implicancias. Instrumentos de integración. El tratado de Ouro Preto. Estructura orgánica. Cláusulas de salvaguardia. Solución de controversias.</w:t>
      </w:r>
    </w:p>
    <w:p w:rsidR="00466DB9" w:rsidRDefault="00AD05DE">
      <w:pPr>
        <w:pStyle w:val="Ttulo2"/>
      </w:pPr>
      <w:bookmarkStart w:id="4" w:name="_q10mgsi0lich" w:colFirst="0" w:colLast="0"/>
      <w:bookmarkEnd w:id="4"/>
      <w:r>
        <w:t>MÓDULO III: El MERCOSUR</w:t>
      </w:r>
    </w:p>
    <w:p w:rsidR="00466DB9" w:rsidRDefault="00AD05DE">
      <w:pPr>
        <w:numPr>
          <w:ilvl w:val="0"/>
          <w:numId w:val="2"/>
        </w:numPr>
        <w:pBdr>
          <w:top w:val="nil"/>
          <w:left w:val="nil"/>
          <w:bottom w:val="nil"/>
          <w:right w:val="nil"/>
          <w:between w:val="nil"/>
        </w:pBdr>
        <w:rPr>
          <w:rFonts w:ascii="Roboto" w:eastAsia="Roboto" w:hAnsi="Roboto" w:cs="Roboto"/>
        </w:rPr>
      </w:pPr>
      <w:r>
        <w:rPr>
          <w:rFonts w:ascii="Roboto" w:eastAsia="Roboto" w:hAnsi="Roboto" w:cs="Roboto"/>
        </w:rPr>
        <w:t>El MERCOSUR y el resto de América</w:t>
      </w:r>
      <w:r>
        <w:rPr>
          <w:rFonts w:ascii="Roboto" w:eastAsia="Roboto" w:hAnsi="Roboto" w:cs="Roboto"/>
        </w:rPr>
        <w:t xml:space="preserve"> Latina. Beneficios y desafíos. Acuerdos con la Unión Europea, Chile y Bolivia. Ampliación del MERCOSUR. Incorporaciones. Socios posibles. El futuro del MERCOSUR: Desarrollo, perspectivas y proyecciones. El ALCA.</w:t>
      </w:r>
    </w:p>
    <w:p w:rsidR="00466DB9" w:rsidRDefault="00AD05DE">
      <w:pPr>
        <w:numPr>
          <w:ilvl w:val="0"/>
          <w:numId w:val="2"/>
        </w:numPr>
        <w:pBdr>
          <w:top w:val="nil"/>
          <w:left w:val="nil"/>
          <w:bottom w:val="nil"/>
          <w:right w:val="nil"/>
          <w:between w:val="nil"/>
        </w:pBdr>
        <w:rPr>
          <w:rFonts w:ascii="Roboto" w:eastAsia="Roboto" w:hAnsi="Roboto" w:cs="Roboto"/>
        </w:rPr>
      </w:pPr>
      <w:r>
        <w:rPr>
          <w:rFonts w:ascii="Roboto" w:eastAsia="Roboto" w:hAnsi="Roboto" w:cs="Roboto"/>
        </w:rPr>
        <w:lastRenderedPageBreak/>
        <w:t xml:space="preserve">El proceso de integración y desarrollo. La </w:t>
      </w:r>
      <w:r>
        <w:rPr>
          <w:rFonts w:ascii="Roboto" w:eastAsia="Roboto" w:hAnsi="Roboto" w:cs="Roboto"/>
        </w:rPr>
        <w:t>definición del Arancel Externo Común. Régimen de adecuación. Régimen de origen. Restricciones no arancelarias. Zonas francas. Incentivos a las exportaciones. Aduana.</w:t>
      </w:r>
    </w:p>
    <w:p w:rsidR="00466DB9" w:rsidRDefault="00AD05DE">
      <w:pPr>
        <w:numPr>
          <w:ilvl w:val="0"/>
          <w:numId w:val="2"/>
        </w:numPr>
        <w:pBdr>
          <w:top w:val="nil"/>
          <w:left w:val="nil"/>
          <w:bottom w:val="nil"/>
          <w:right w:val="nil"/>
          <w:between w:val="nil"/>
        </w:pBdr>
        <w:rPr>
          <w:rFonts w:ascii="Roboto" w:eastAsia="Roboto" w:hAnsi="Roboto" w:cs="Roboto"/>
        </w:rPr>
      </w:pPr>
      <w:r>
        <w:rPr>
          <w:rFonts w:ascii="Roboto" w:eastAsia="Roboto" w:hAnsi="Roboto" w:cs="Roboto"/>
        </w:rPr>
        <w:t>Mecanismos de exportación e importación. Promoción de las exportaciones. Regímenes especia</w:t>
      </w:r>
      <w:r>
        <w:rPr>
          <w:rFonts w:ascii="Roboto" w:eastAsia="Roboto" w:hAnsi="Roboto" w:cs="Roboto"/>
        </w:rPr>
        <w:t>les del comercio exterior. Zonas francas. Financiamiento de las exportaciones. Régimen arancelario y aduanero. Normas relacionadas con las operaciones de exportación e importación. El tratamiento impositivo.</w:t>
      </w:r>
    </w:p>
    <w:p w:rsidR="00466DB9" w:rsidRDefault="00466DB9">
      <w:pPr>
        <w:rPr>
          <w:rFonts w:ascii="Roboto" w:eastAsia="Roboto" w:hAnsi="Roboto" w:cs="Roboto"/>
        </w:rPr>
      </w:pPr>
    </w:p>
    <w:p w:rsidR="00466DB9" w:rsidRDefault="00AD05DE">
      <w:pPr>
        <w:pStyle w:val="Ttulo2"/>
      </w:pPr>
      <w:bookmarkStart w:id="5" w:name="_5ts89gu6sbfc" w:colFirst="0" w:colLast="0"/>
      <w:bookmarkEnd w:id="5"/>
      <w:r>
        <w:t>BIBLIOGRAFÍA</w:t>
      </w:r>
    </w:p>
    <w:p w:rsidR="00466DB9" w:rsidRDefault="00AD05DE">
      <w:pPr>
        <w:numPr>
          <w:ilvl w:val="0"/>
          <w:numId w:val="1"/>
        </w:numPr>
        <w:spacing w:after="80" w:line="273" w:lineRule="auto"/>
        <w:rPr>
          <w:rFonts w:ascii="Roboto" w:eastAsia="Roboto" w:hAnsi="Roboto" w:cs="Roboto"/>
        </w:rPr>
      </w:pPr>
      <w:r>
        <w:rPr>
          <w:rFonts w:ascii="Roboto" w:eastAsia="Roboto" w:hAnsi="Roboto" w:cs="Roboto"/>
        </w:rPr>
        <w:t xml:space="preserve">DELL, Sidney. Bloques de Comercio </w:t>
      </w:r>
      <w:r>
        <w:rPr>
          <w:rFonts w:ascii="Roboto" w:eastAsia="Roboto" w:hAnsi="Roboto" w:cs="Roboto"/>
        </w:rPr>
        <w:t>y mercados comunes. México, Fondo de Cultura Económica, 1965.</w:t>
      </w:r>
    </w:p>
    <w:p w:rsidR="00466DB9" w:rsidRDefault="00AD05DE">
      <w:pPr>
        <w:numPr>
          <w:ilvl w:val="0"/>
          <w:numId w:val="1"/>
        </w:numPr>
        <w:spacing w:after="80" w:line="273" w:lineRule="auto"/>
        <w:rPr>
          <w:rFonts w:ascii="Roboto" w:eastAsia="Roboto" w:hAnsi="Roboto" w:cs="Roboto"/>
        </w:rPr>
      </w:pPr>
      <w:r>
        <w:rPr>
          <w:rFonts w:ascii="Roboto" w:eastAsia="Roboto" w:hAnsi="Roboto" w:cs="Roboto"/>
        </w:rPr>
        <w:t>BALDINELLI, Elvio. La Argentina en el comercio mundial. Buenos Aires, Editorial Atlántida, 1997.</w:t>
      </w:r>
    </w:p>
    <w:p w:rsidR="00466DB9" w:rsidRDefault="00AD05DE">
      <w:pPr>
        <w:numPr>
          <w:ilvl w:val="0"/>
          <w:numId w:val="1"/>
        </w:numPr>
        <w:spacing w:after="80" w:line="273" w:lineRule="auto"/>
        <w:rPr>
          <w:rFonts w:ascii="Roboto" w:eastAsia="Roboto" w:hAnsi="Roboto" w:cs="Roboto"/>
        </w:rPr>
      </w:pPr>
      <w:r>
        <w:rPr>
          <w:rFonts w:ascii="Roboto" w:eastAsia="Roboto" w:hAnsi="Roboto" w:cs="Roboto"/>
        </w:rPr>
        <w:t>KOSACOFF, Bernardo (ED). Hacia una nueva estrategia exportadora. Buenos Aires, Universidad Nacion</w:t>
      </w:r>
      <w:r>
        <w:rPr>
          <w:rFonts w:ascii="Roboto" w:eastAsia="Roboto" w:hAnsi="Roboto" w:cs="Roboto"/>
        </w:rPr>
        <w:t>al de Quilmes, 1995.</w:t>
      </w:r>
    </w:p>
    <w:p w:rsidR="00466DB9" w:rsidRDefault="00AD05DE">
      <w:pPr>
        <w:numPr>
          <w:ilvl w:val="0"/>
          <w:numId w:val="1"/>
        </w:numPr>
        <w:spacing w:after="80" w:line="273" w:lineRule="auto"/>
        <w:rPr>
          <w:rFonts w:ascii="Roboto" w:eastAsia="Roboto" w:hAnsi="Roboto" w:cs="Roboto"/>
        </w:rPr>
      </w:pPr>
      <w:r>
        <w:rPr>
          <w:rFonts w:ascii="Roboto" w:eastAsia="Roboto" w:hAnsi="Roboto" w:cs="Roboto"/>
        </w:rPr>
        <w:t>MAKUC, Adrián y ABLIN, Eduardo. Comercio Exterior Argentino. MERCOSUR y apertura. Buenos Aires, Editorial ERREPAR, 1994.</w:t>
      </w:r>
    </w:p>
    <w:p w:rsidR="00466DB9" w:rsidRDefault="00AD05DE">
      <w:pPr>
        <w:numPr>
          <w:ilvl w:val="0"/>
          <w:numId w:val="1"/>
        </w:numPr>
        <w:spacing w:after="80" w:line="273" w:lineRule="auto"/>
        <w:rPr>
          <w:rFonts w:ascii="Roboto" w:eastAsia="Roboto" w:hAnsi="Roboto" w:cs="Roboto"/>
        </w:rPr>
      </w:pPr>
      <w:r>
        <w:rPr>
          <w:rFonts w:ascii="Roboto" w:eastAsia="Roboto" w:hAnsi="Roboto" w:cs="Roboto"/>
        </w:rPr>
        <w:t>FERRER, Aldo. La Economía Argentina. Desde sus orígenes hasta principios del siglo XXI. Buenos Aires, Fondo de Cul</w:t>
      </w:r>
      <w:r>
        <w:rPr>
          <w:rFonts w:ascii="Roboto" w:eastAsia="Roboto" w:hAnsi="Roboto" w:cs="Roboto"/>
        </w:rPr>
        <w:t>tura Económica, 2004.</w:t>
      </w:r>
    </w:p>
    <w:p w:rsidR="00466DB9" w:rsidRDefault="00AD05DE">
      <w:pPr>
        <w:numPr>
          <w:ilvl w:val="0"/>
          <w:numId w:val="1"/>
        </w:numPr>
        <w:spacing w:after="80" w:line="273" w:lineRule="auto"/>
        <w:rPr>
          <w:rFonts w:ascii="Roboto" w:eastAsia="Roboto" w:hAnsi="Roboto" w:cs="Roboto"/>
        </w:rPr>
      </w:pPr>
      <w:r>
        <w:rPr>
          <w:rFonts w:ascii="Roboto" w:eastAsia="Roboto" w:hAnsi="Roboto" w:cs="Roboto"/>
        </w:rPr>
        <w:t>TANSINI, Rubén Ed. Economía para No Economistas. Facultad de Ciencias Sociales, Universidad de la República Oriental del Uruguay, Versión Electrónica, 2003.</w:t>
      </w:r>
    </w:p>
    <w:p w:rsidR="00466DB9" w:rsidRDefault="00466DB9">
      <w:pPr>
        <w:spacing w:after="80" w:line="273" w:lineRule="auto"/>
        <w:rPr>
          <w:rFonts w:ascii="Roboto" w:eastAsia="Roboto" w:hAnsi="Roboto" w:cs="Roboto"/>
        </w:rPr>
      </w:pPr>
    </w:p>
    <w:p w:rsidR="00466DB9" w:rsidRDefault="00466DB9">
      <w:pPr>
        <w:spacing w:after="80" w:line="273" w:lineRule="auto"/>
        <w:rPr>
          <w:rFonts w:ascii="Roboto" w:eastAsia="Roboto" w:hAnsi="Roboto" w:cs="Roboto"/>
        </w:rPr>
      </w:pPr>
    </w:p>
    <w:sectPr w:rsidR="00466DB9">
      <w:headerReference w:type="default" r:id="rId7"/>
      <w:footerReference w:type="default" r:id="rId8"/>
      <w:headerReference w:type="first" r:id="rId9"/>
      <w:footerReference w:type="first" r:id="rId10"/>
      <w:pgSz w:w="11906" w:h="16838"/>
      <w:pgMar w:top="1133" w:right="1133" w:bottom="1133" w:left="1133" w:header="566" w:footer="56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5DE" w:rsidRDefault="00AD05DE">
      <w:pPr>
        <w:spacing w:line="240" w:lineRule="auto"/>
      </w:pPr>
      <w:r>
        <w:separator/>
      </w:r>
    </w:p>
  </w:endnote>
  <w:endnote w:type="continuationSeparator" w:id="0">
    <w:p w:rsidR="00AD05DE" w:rsidRDefault="00AD05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Lora">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DB9" w:rsidRDefault="00AD05DE">
    <w:pPr>
      <w:jc w:val="right"/>
      <w:rPr>
        <w:rFonts w:ascii="Roboto" w:eastAsia="Roboto" w:hAnsi="Roboto" w:cs="Roboto"/>
        <w:color w:val="16A085"/>
      </w:rPr>
    </w:pPr>
    <w:r>
      <w:rPr>
        <w:rFonts w:ascii="Roboto" w:eastAsia="Roboto" w:hAnsi="Roboto" w:cs="Roboto"/>
        <w:color w:val="16A085"/>
      </w:rPr>
      <w:fldChar w:fldCharType="begin"/>
    </w:r>
    <w:r>
      <w:rPr>
        <w:rFonts w:ascii="Roboto" w:eastAsia="Roboto" w:hAnsi="Roboto" w:cs="Roboto"/>
        <w:color w:val="16A085"/>
      </w:rPr>
      <w:instrText>PAGE</w:instrText>
    </w:r>
    <w:r w:rsidR="00C2327C">
      <w:rPr>
        <w:rFonts w:ascii="Roboto" w:eastAsia="Roboto" w:hAnsi="Roboto" w:cs="Roboto"/>
        <w:color w:val="16A085"/>
      </w:rPr>
      <w:fldChar w:fldCharType="separate"/>
    </w:r>
    <w:r w:rsidR="00C2327C">
      <w:rPr>
        <w:rFonts w:ascii="Roboto" w:eastAsia="Roboto" w:hAnsi="Roboto" w:cs="Roboto"/>
        <w:noProof/>
        <w:color w:val="16A085"/>
      </w:rPr>
      <w:t>1</w:t>
    </w:r>
    <w:r>
      <w:rPr>
        <w:rFonts w:ascii="Roboto" w:eastAsia="Roboto" w:hAnsi="Roboto" w:cs="Roboto"/>
        <w:color w:val="16A08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DB9" w:rsidRDefault="00AD05DE">
    <w:pPr>
      <w:jc w:val="right"/>
      <w:rPr>
        <w:color w:val="16A085"/>
      </w:rPr>
    </w:pPr>
    <w:r>
      <w:rPr>
        <w:color w:val="16A085"/>
      </w:rPr>
      <w:fldChar w:fldCharType="begin"/>
    </w:r>
    <w:r>
      <w:rPr>
        <w:color w:val="16A085"/>
      </w:rPr>
      <w:instrText>PAGE</w:instrText>
    </w:r>
    <w:r>
      <w:rPr>
        <w:color w:val="16A08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5DE" w:rsidRDefault="00AD05DE">
      <w:pPr>
        <w:spacing w:line="240" w:lineRule="auto"/>
      </w:pPr>
      <w:r>
        <w:separator/>
      </w:r>
    </w:p>
  </w:footnote>
  <w:footnote w:type="continuationSeparator" w:id="0">
    <w:p w:rsidR="00AD05DE" w:rsidRDefault="00AD05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DB9" w:rsidRDefault="00466DB9">
    <w:pPr>
      <w:spacing w:line="240" w:lineRule="auto"/>
      <w:rPr>
        <w:rFonts w:ascii="Roboto" w:eastAsia="Roboto" w:hAnsi="Roboto" w:cs="Roboto"/>
        <w:sz w:val="4"/>
        <w:szCs w:val="4"/>
      </w:rPr>
    </w:pPr>
  </w:p>
  <w:tbl>
    <w:tblPr>
      <w:tblStyle w:val="a0"/>
      <w:tblW w:w="9630" w:type="dxa"/>
      <w:jc w:val="center"/>
      <w:tblInd w:w="0" w:type="dxa"/>
      <w:tblLayout w:type="fixed"/>
      <w:tblLook w:val="0600" w:firstRow="0" w:lastRow="0" w:firstColumn="0" w:lastColumn="0" w:noHBand="1" w:noVBand="1"/>
    </w:tblPr>
    <w:tblGrid>
      <w:gridCol w:w="1245"/>
      <w:gridCol w:w="2550"/>
      <w:gridCol w:w="1275"/>
      <w:gridCol w:w="1350"/>
      <w:gridCol w:w="1230"/>
      <w:gridCol w:w="1980"/>
    </w:tblGrid>
    <w:tr w:rsidR="00466DB9">
      <w:trPr>
        <w:trHeight w:val="1140"/>
        <w:jc w:val="center"/>
      </w:trPr>
      <w:tc>
        <w:tcPr>
          <w:tcW w:w="1245" w:type="dxa"/>
          <w:shd w:val="clear" w:color="auto" w:fill="auto"/>
          <w:tcMar>
            <w:top w:w="0" w:type="dxa"/>
            <w:left w:w="0" w:type="dxa"/>
            <w:bottom w:w="0" w:type="dxa"/>
            <w:right w:w="0" w:type="dxa"/>
          </w:tcMar>
          <w:vAlign w:val="center"/>
        </w:tcPr>
        <w:p w:rsidR="00466DB9" w:rsidRDefault="00AD05DE">
          <w:pPr>
            <w:spacing w:after="40" w:line="264" w:lineRule="auto"/>
            <w:jc w:val="left"/>
            <w:rPr>
              <w:rFonts w:ascii="Lora" w:eastAsia="Lora" w:hAnsi="Lora" w:cs="Lora"/>
              <w:b/>
              <w:sz w:val="18"/>
              <w:szCs w:val="18"/>
            </w:rPr>
          </w:pPr>
          <w:r>
            <w:rPr>
              <w:rFonts w:ascii="Lora" w:eastAsia="Lora" w:hAnsi="Lora" w:cs="Lora"/>
              <w:b/>
              <w:noProof/>
              <w:sz w:val="18"/>
              <w:szCs w:val="18"/>
              <w:lang w:val="en-US"/>
            </w:rPr>
            <w:drawing>
              <wp:inline distT="114300" distB="114300" distL="114300" distR="114300">
                <wp:extent cx="762000" cy="61717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9031" b="9744"/>
                        <a:stretch>
                          <a:fillRect/>
                        </a:stretch>
                      </pic:blipFill>
                      <pic:spPr>
                        <a:xfrm>
                          <a:off x="0" y="0"/>
                          <a:ext cx="762000" cy="617175"/>
                        </a:xfrm>
                        <a:prstGeom prst="rect">
                          <a:avLst/>
                        </a:prstGeom>
                        <a:ln/>
                      </pic:spPr>
                    </pic:pic>
                  </a:graphicData>
                </a:graphic>
              </wp:inline>
            </w:drawing>
          </w:r>
        </w:p>
      </w:tc>
      <w:tc>
        <w:tcPr>
          <w:tcW w:w="2550" w:type="dxa"/>
          <w:shd w:val="clear" w:color="auto" w:fill="auto"/>
          <w:tcMar>
            <w:top w:w="0" w:type="dxa"/>
            <w:left w:w="0" w:type="dxa"/>
            <w:bottom w:w="0" w:type="dxa"/>
            <w:right w:w="0" w:type="dxa"/>
          </w:tcMar>
          <w:vAlign w:val="center"/>
        </w:tcPr>
        <w:p w:rsidR="00466DB9" w:rsidRDefault="00AD05DE">
          <w:pPr>
            <w:widowControl w:val="0"/>
            <w:pBdr>
              <w:top w:val="nil"/>
              <w:left w:val="nil"/>
              <w:bottom w:val="nil"/>
              <w:right w:val="nil"/>
              <w:between w:val="nil"/>
            </w:pBdr>
            <w:spacing w:after="40" w:line="264" w:lineRule="auto"/>
            <w:jc w:val="center"/>
            <w:rPr>
              <w:rFonts w:ascii="Lora" w:eastAsia="Lora" w:hAnsi="Lora" w:cs="Lora"/>
              <w:sz w:val="18"/>
              <w:szCs w:val="18"/>
            </w:rPr>
          </w:pPr>
          <w:r>
            <w:rPr>
              <w:rFonts w:ascii="Lora" w:eastAsia="Lora" w:hAnsi="Lora" w:cs="Lora"/>
              <w:sz w:val="18"/>
              <w:szCs w:val="18"/>
            </w:rPr>
            <w:t>Departamento de Ingeniería Química y en Alimentos</w:t>
          </w:r>
        </w:p>
      </w:tc>
      <w:tc>
        <w:tcPr>
          <w:tcW w:w="1275" w:type="dxa"/>
          <w:shd w:val="clear" w:color="auto" w:fill="auto"/>
          <w:tcMar>
            <w:top w:w="0" w:type="dxa"/>
            <w:left w:w="0" w:type="dxa"/>
            <w:bottom w:w="0" w:type="dxa"/>
            <w:right w:w="0" w:type="dxa"/>
          </w:tcMar>
          <w:vAlign w:val="center"/>
        </w:tcPr>
        <w:p w:rsidR="00466DB9" w:rsidRDefault="00AD05DE">
          <w:pPr>
            <w:spacing w:after="40" w:line="264" w:lineRule="auto"/>
            <w:jc w:val="right"/>
            <w:rPr>
              <w:rFonts w:ascii="Lora" w:eastAsia="Lora" w:hAnsi="Lora" w:cs="Lora"/>
              <w:sz w:val="18"/>
              <w:szCs w:val="18"/>
            </w:rPr>
          </w:pPr>
          <w:r>
            <w:rPr>
              <w:rFonts w:ascii="Lora" w:eastAsia="Lora" w:hAnsi="Lora" w:cs="Lora"/>
              <w:noProof/>
              <w:sz w:val="18"/>
              <w:szCs w:val="18"/>
              <w:lang w:val="en-US"/>
            </w:rPr>
            <w:drawing>
              <wp:inline distT="114300" distB="114300" distL="114300" distR="114300">
                <wp:extent cx="819150" cy="642938"/>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t="12790" b="8720"/>
                        <a:stretch>
                          <a:fillRect/>
                        </a:stretch>
                      </pic:blipFill>
                      <pic:spPr>
                        <a:xfrm>
                          <a:off x="0" y="0"/>
                          <a:ext cx="819150" cy="642938"/>
                        </a:xfrm>
                        <a:prstGeom prst="rect">
                          <a:avLst/>
                        </a:prstGeom>
                        <a:ln/>
                      </pic:spPr>
                    </pic:pic>
                  </a:graphicData>
                </a:graphic>
              </wp:inline>
            </w:drawing>
          </w:r>
        </w:p>
      </w:tc>
      <w:tc>
        <w:tcPr>
          <w:tcW w:w="1350" w:type="dxa"/>
          <w:shd w:val="clear" w:color="auto" w:fill="auto"/>
          <w:tcMar>
            <w:top w:w="0" w:type="dxa"/>
            <w:left w:w="0" w:type="dxa"/>
            <w:bottom w:w="0" w:type="dxa"/>
            <w:right w:w="0" w:type="dxa"/>
          </w:tcMar>
          <w:vAlign w:val="center"/>
        </w:tcPr>
        <w:p w:rsidR="00466DB9" w:rsidRDefault="00AD05DE">
          <w:pPr>
            <w:widowControl w:val="0"/>
            <w:pBdr>
              <w:top w:val="nil"/>
              <w:left w:val="nil"/>
              <w:bottom w:val="nil"/>
              <w:right w:val="nil"/>
              <w:between w:val="nil"/>
            </w:pBdr>
            <w:spacing w:after="40" w:line="264" w:lineRule="auto"/>
            <w:jc w:val="center"/>
            <w:rPr>
              <w:rFonts w:ascii="Lora" w:eastAsia="Lora" w:hAnsi="Lora" w:cs="Lora"/>
              <w:sz w:val="18"/>
              <w:szCs w:val="18"/>
            </w:rPr>
          </w:pPr>
          <w:r>
            <w:rPr>
              <w:rFonts w:ascii="Lora" w:eastAsia="Lora" w:hAnsi="Lora" w:cs="Lora"/>
              <w:sz w:val="18"/>
              <w:szCs w:val="18"/>
            </w:rPr>
            <w:t>Facultad de Ingeniería</w:t>
          </w:r>
        </w:p>
      </w:tc>
      <w:tc>
        <w:tcPr>
          <w:tcW w:w="1230" w:type="dxa"/>
          <w:shd w:val="clear" w:color="auto" w:fill="auto"/>
          <w:tcMar>
            <w:top w:w="0" w:type="dxa"/>
            <w:left w:w="0" w:type="dxa"/>
            <w:bottom w:w="0" w:type="dxa"/>
            <w:right w:w="0" w:type="dxa"/>
          </w:tcMar>
          <w:vAlign w:val="center"/>
        </w:tcPr>
        <w:p w:rsidR="00466DB9" w:rsidRDefault="00AD05DE">
          <w:pPr>
            <w:spacing w:after="40" w:line="264" w:lineRule="auto"/>
            <w:jc w:val="right"/>
            <w:rPr>
              <w:rFonts w:ascii="Lora" w:eastAsia="Lora" w:hAnsi="Lora" w:cs="Lora"/>
              <w:sz w:val="18"/>
              <w:szCs w:val="18"/>
            </w:rPr>
          </w:pPr>
          <w:r>
            <w:rPr>
              <w:rFonts w:ascii="Lora" w:eastAsia="Lora" w:hAnsi="Lora" w:cs="Lora"/>
              <w:noProof/>
              <w:sz w:val="18"/>
              <w:szCs w:val="18"/>
              <w:lang w:val="en-US"/>
            </w:rPr>
            <w:drawing>
              <wp:inline distT="114300" distB="114300" distL="114300" distR="114300">
                <wp:extent cx="544875" cy="544875"/>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544875" cy="544875"/>
                        </a:xfrm>
                        <a:prstGeom prst="rect">
                          <a:avLst/>
                        </a:prstGeom>
                        <a:ln/>
                      </pic:spPr>
                    </pic:pic>
                  </a:graphicData>
                </a:graphic>
              </wp:inline>
            </w:drawing>
          </w:r>
        </w:p>
      </w:tc>
      <w:tc>
        <w:tcPr>
          <w:tcW w:w="1980" w:type="dxa"/>
          <w:shd w:val="clear" w:color="auto" w:fill="auto"/>
          <w:tcMar>
            <w:top w:w="0" w:type="dxa"/>
            <w:left w:w="0" w:type="dxa"/>
            <w:bottom w:w="0" w:type="dxa"/>
            <w:right w:w="0" w:type="dxa"/>
          </w:tcMar>
          <w:vAlign w:val="center"/>
        </w:tcPr>
        <w:p w:rsidR="00466DB9" w:rsidRDefault="00AD05DE">
          <w:pPr>
            <w:widowControl w:val="0"/>
            <w:pBdr>
              <w:top w:val="nil"/>
              <w:left w:val="nil"/>
              <w:bottom w:val="nil"/>
              <w:right w:val="nil"/>
              <w:between w:val="nil"/>
            </w:pBdr>
            <w:spacing w:after="40" w:line="264" w:lineRule="auto"/>
            <w:jc w:val="center"/>
            <w:rPr>
              <w:rFonts w:ascii="Lora" w:eastAsia="Lora" w:hAnsi="Lora" w:cs="Lora"/>
              <w:sz w:val="18"/>
              <w:szCs w:val="18"/>
            </w:rPr>
          </w:pPr>
          <w:r>
            <w:rPr>
              <w:rFonts w:ascii="Lora" w:eastAsia="Lora" w:hAnsi="Lora" w:cs="Lora"/>
              <w:sz w:val="18"/>
              <w:szCs w:val="18"/>
            </w:rPr>
            <w:t>Universidad Nacional de Mar del Plata</w:t>
          </w:r>
        </w:p>
      </w:tc>
    </w:tr>
  </w:tbl>
  <w:p w:rsidR="00466DB9" w:rsidRDefault="00AD05DE">
    <w:pPr>
      <w:spacing w:line="240" w:lineRule="auto"/>
    </w:pPr>
    <w:r>
      <w:pict>
        <v:rect id="_x0000_i1026" style="width:0;height:1.5pt" o:hralign="center" o:hrstd="t" o:hr="t" fillcolor="#a0a0a0" stroked="f"/>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DB9" w:rsidRDefault="00466DB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BF1636"/>
    <w:multiLevelType w:val="multilevel"/>
    <w:tmpl w:val="78F26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4FD709F"/>
    <w:multiLevelType w:val="multilevel"/>
    <w:tmpl w:val="8ABE13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DB9"/>
    <w:rsid w:val="00466DB9"/>
    <w:rsid w:val="00AD05DE"/>
    <w:rsid w:val="00C2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4B5D4D-20B4-41EC-96D7-646E9B50D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jc w:val="center"/>
      <w:outlineLvl w:val="0"/>
    </w:pPr>
    <w:rPr>
      <w:rFonts w:ascii="Roboto" w:eastAsia="Roboto" w:hAnsi="Roboto" w:cs="Roboto"/>
      <w:b/>
      <w:color w:val="16A085"/>
      <w:sz w:val="32"/>
      <w:szCs w:val="32"/>
    </w:rPr>
  </w:style>
  <w:style w:type="paragraph" w:styleId="Ttulo2">
    <w:name w:val="heading 2"/>
    <w:basedOn w:val="Normal"/>
    <w:next w:val="Normal"/>
    <w:pPr>
      <w:keepNext/>
      <w:keepLines/>
      <w:spacing w:before="200" w:after="40" w:line="271" w:lineRule="auto"/>
      <w:outlineLvl w:val="1"/>
    </w:pPr>
    <w:rPr>
      <w:rFonts w:ascii="Roboto" w:eastAsia="Roboto" w:hAnsi="Roboto" w:cs="Roboto"/>
      <w:b/>
      <w:color w:val="16A085"/>
      <w:sz w:val="28"/>
      <w:szCs w:val="28"/>
    </w:rPr>
  </w:style>
  <w:style w:type="paragraph" w:styleId="Ttulo3">
    <w:name w:val="heading 3"/>
    <w:basedOn w:val="Normal"/>
    <w:next w:val="Normal"/>
    <w:pPr>
      <w:keepNext/>
      <w:keepLines/>
      <w:spacing w:before="320" w:after="80" w:line="273" w:lineRule="auto"/>
      <w:outlineLvl w:val="2"/>
    </w:pPr>
    <w:rPr>
      <w:rFonts w:ascii="Roboto" w:eastAsia="Roboto" w:hAnsi="Roboto" w:cs="Roboto"/>
      <w:b/>
      <w:i/>
      <w:color w:val="434343"/>
      <w:sz w:val="24"/>
      <w:szCs w:val="24"/>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2732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c:creator>
  <cp:lastModifiedBy>Ju</cp:lastModifiedBy>
  <cp:revision>2</cp:revision>
  <dcterms:created xsi:type="dcterms:W3CDTF">2019-03-10T21:40:00Z</dcterms:created>
  <dcterms:modified xsi:type="dcterms:W3CDTF">2019-03-10T21:40:00Z</dcterms:modified>
</cp:coreProperties>
</file>