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DEA" w:rsidRDefault="00E40DEA">
      <w:pPr>
        <w:rPr>
          <w:rFonts w:ascii="Roboto" w:eastAsia="Roboto" w:hAnsi="Roboto" w:cs="Roboto"/>
          <w:sz w:val="16"/>
          <w:szCs w:val="16"/>
        </w:rPr>
      </w:pPr>
      <w:bookmarkStart w:id="0" w:name="_GoBack"/>
      <w:bookmarkEnd w:id="0"/>
    </w:p>
    <w:tbl>
      <w:tblPr>
        <w:tblStyle w:val="a"/>
        <w:tblW w:w="9630" w:type="dxa"/>
        <w:jc w:val="center"/>
        <w:tblInd w:w="0" w:type="dxa"/>
        <w:tblLayout w:type="fixed"/>
        <w:tblLook w:val="0600" w:firstRow="0" w:lastRow="0" w:firstColumn="0" w:lastColumn="0" w:noHBand="1" w:noVBand="1"/>
      </w:tblPr>
      <w:tblGrid>
        <w:gridCol w:w="1710"/>
        <w:gridCol w:w="5865"/>
        <w:gridCol w:w="855"/>
        <w:gridCol w:w="1200"/>
      </w:tblGrid>
      <w:tr w:rsidR="00E40DEA">
        <w:trPr>
          <w:jc w:val="center"/>
        </w:trPr>
        <w:tc>
          <w:tcPr>
            <w:tcW w:w="171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E40DEA" w:rsidRDefault="004B25EF">
            <w:pPr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CARRERA</w:t>
            </w:r>
          </w:p>
        </w:tc>
        <w:tc>
          <w:tcPr>
            <w:tcW w:w="586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E40DEA" w:rsidRDefault="004B25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Ingeniería Química</w:t>
            </w:r>
          </w:p>
        </w:tc>
        <w:tc>
          <w:tcPr>
            <w:tcW w:w="85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E40DEA" w:rsidRDefault="004B25EF">
            <w:pPr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PLAN</w:t>
            </w:r>
          </w:p>
        </w:tc>
        <w:tc>
          <w:tcPr>
            <w:tcW w:w="120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E40DEA" w:rsidRDefault="004B25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2003</w:t>
            </w:r>
          </w:p>
        </w:tc>
      </w:tr>
      <w:tr w:rsidR="00E40DEA">
        <w:trPr>
          <w:jc w:val="center"/>
        </w:trPr>
        <w:tc>
          <w:tcPr>
            <w:tcW w:w="171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E40DEA" w:rsidRDefault="004B25EF">
            <w:pPr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ASIGNATURA</w:t>
            </w:r>
          </w:p>
        </w:tc>
        <w:tc>
          <w:tcPr>
            <w:tcW w:w="586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E40DEA" w:rsidRDefault="004B25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 xml:space="preserve">Marketing </w:t>
            </w:r>
          </w:p>
        </w:tc>
        <w:tc>
          <w:tcPr>
            <w:tcW w:w="85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E40DEA" w:rsidRDefault="004B25EF">
            <w:pPr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COD.</w:t>
            </w:r>
          </w:p>
        </w:tc>
        <w:tc>
          <w:tcPr>
            <w:tcW w:w="120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E40DEA" w:rsidRDefault="004B25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833</w:t>
            </w:r>
          </w:p>
        </w:tc>
      </w:tr>
      <w:tr w:rsidR="00E40DEA">
        <w:trPr>
          <w:jc w:val="center"/>
        </w:trPr>
        <w:tc>
          <w:tcPr>
            <w:tcW w:w="171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E40DEA" w:rsidRDefault="004B25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TIPO</w:t>
            </w:r>
          </w:p>
        </w:tc>
        <w:tc>
          <w:tcPr>
            <w:tcW w:w="586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E40DEA" w:rsidRDefault="004B25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Optativa</w:t>
            </w:r>
          </w:p>
        </w:tc>
        <w:tc>
          <w:tcPr>
            <w:tcW w:w="85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E40DEA" w:rsidRDefault="00E40D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sz w:val="24"/>
                <w:szCs w:val="24"/>
              </w:rPr>
            </w:pPr>
          </w:p>
        </w:tc>
        <w:tc>
          <w:tcPr>
            <w:tcW w:w="120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E40DEA" w:rsidRDefault="00E40D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sz w:val="24"/>
                <w:szCs w:val="24"/>
              </w:rPr>
            </w:pPr>
          </w:p>
        </w:tc>
      </w:tr>
    </w:tbl>
    <w:p w:rsidR="00E40DEA" w:rsidRDefault="004B25EF">
      <w:pPr>
        <w:rPr>
          <w:rFonts w:ascii="Roboto" w:eastAsia="Roboto" w:hAnsi="Roboto" w:cs="Roboto"/>
        </w:rPr>
      </w:pPr>
      <w:r>
        <w:pict>
          <v:rect id="_x0000_i1025" style="width:0;height:1.5pt" o:hralign="center" o:hrstd="t" o:hr="t" fillcolor="#a0a0a0" stroked="f"/>
        </w:pict>
      </w:r>
    </w:p>
    <w:p w:rsidR="00E40DEA" w:rsidRDefault="004B25EF">
      <w:pPr>
        <w:pStyle w:val="Ttulo1"/>
      </w:pPr>
      <w:bookmarkStart w:id="1" w:name="_nddimbltco0o" w:colFirst="0" w:colLast="0"/>
      <w:bookmarkEnd w:id="1"/>
      <w:r>
        <w:t xml:space="preserve">PROGRAMA ANALÍTICO </w:t>
      </w:r>
    </w:p>
    <w:p w:rsidR="00E40DEA" w:rsidRDefault="004B25EF">
      <w:pPr>
        <w:pStyle w:val="Ttulo2"/>
        <w:jc w:val="center"/>
      </w:pPr>
      <w:bookmarkStart w:id="2" w:name="_egdq0xlk308y" w:colFirst="0" w:colLast="0"/>
      <w:bookmarkEnd w:id="2"/>
      <w:r>
        <w:t>I - LOS CONCEPTOS FUNDAMENTALES</w:t>
      </w:r>
    </w:p>
    <w:p w:rsidR="00E40DEA" w:rsidRDefault="004B25EF">
      <w:pPr>
        <w:pStyle w:val="Ttulo2"/>
      </w:pPr>
      <w:bookmarkStart w:id="3" w:name="_1b9t6okfyffr" w:colFirst="0" w:colLast="0"/>
      <w:bookmarkEnd w:id="3"/>
      <w:r>
        <w:t>Capítulo 1 - El concepto de la comercialización</w:t>
      </w:r>
    </w:p>
    <w:p w:rsidR="00E40DEA" w:rsidRDefault="004B25EF">
      <w:pPr>
        <w:numPr>
          <w:ilvl w:val="0"/>
          <w:numId w:val="2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Concepto de comercialización. El marketing. Enfoques alternativos.</w:t>
      </w:r>
    </w:p>
    <w:p w:rsidR="00E40DEA" w:rsidRDefault="004B25EF">
      <w:pPr>
        <w:numPr>
          <w:ilvl w:val="0"/>
          <w:numId w:val="2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Orientación del marketing: a la producción, a la venta, al consumidor.</w:t>
      </w:r>
    </w:p>
    <w:p w:rsidR="00E40DEA" w:rsidRDefault="004B25EF">
      <w:pPr>
        <w:numPr>
          <w:ilvl w:val="0"/>
          <w:numId w:val="2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La mezcla de comercialización: producto, precio, comunicación, distribución.</w:t>
      </w:r>
    </w:p>
    <w:p w:rsidR="00E40DEA" w:rsidRDefault="004B25EF">
      <w:pPr>
        <w:numPr>
          <w:ilvl w:val="0"/>
          <w:numId w:val="2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Disciplinas relacionadas.</w:t>
      </w:r>
    </w:p>
    <w:p w:rsidR="00E40DEA" w:rsidRDefault="004B25EF">
      <w:pPr>
        <w:pStyle w:val="Ttulo2"/>
      </w:pPr>
      <w:bookmarkStart w:id="4" w:name="_kyszjmkewo6g" w:colFirst="0" w:colLast="0"/>
      <w:bookmarkEnd w:id="4"/>
      <w:r>
        <w:t>Capítulo 2 - La organización de la comercialización</w:t>
      </w:r>
    </w:p>
    <w:p w:rsidR="00E40DEA" w:rsidRDefault="004B25E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Estrategia y objetivos de la empresa. Tipos de estrategias.</w:t>
      </w:r>
    </w:p>
    <w:p w:rsidR="00E40DEA" w:rsidRDefault="004B25E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La planificación. Las metas.</w:t>
      </w:r>
    </w:p>
    <w:p w:rsidR="00E40DEA" w:rsidRDefault="004B25E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Organización de la comercialización: funcional, por productos, por mercados o territorios, por clientes, mixta.</w:t>
      </w:r>
    </w:p>
    <w:p w:rsidR="00E40DEA" w:rsidRDefault="004B25EF">
      <w:pPr>
        <w:pStyle w:val="Ttulo2"/>
      </w:pPr>
      <w:bookmarkStart w:id="5" w:name="_6txryimdbldo" w:colFirst="0" w:colLast="0"/>
      <w:bookmarkEnd w:id="5"/>
      <w:r>
        <w:t>Cap</w:t>
      </w:r>
      <w:r>
        <w:t>ítulo 3 - La demanda y los mercados</w:t>
      </w:r>
    </w:p>
    <w:p w:rsidR="00E40DEA" w:rsidRDefault="004B25E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Concepto y dimensiones de demanda. Concepto y clases de mercados.</w:t>
      </w:r>
    </w:p>
    <w:p w:rsidR="00E40DEA" w:rsidRDefault="004B25E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Variables controlables: demanda y precio.</w:t>
      </w:r>
    </w:p>
    <w:p w:rsidR="00E40DEA" w:rsidRDefault="004B25E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Estimación de la demanda. Técnicas cuantitativas.</w:t>
      </w:r>
    </w:p>
    <w:p w:rsidR="00E40DEA" w:rsidRDefault="004B25E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Elasticidad de la demanda. Medición. Aplicaciones.</w:t>
      </w:r>
    </w:p>
    <w:p w:rsidR="00E40DEA" w:rsidRDefault="004B25EF">
      <w:pPr>
        <w:pStyle w:val="Ttulo2"/>
        <w:jc w:val="center"/>
      </w:pPr>
      <w:bookmarkStart w:id="6" w:name="_g0m1fjpfavle" w:colFirst="0" w:colLast="0"/>
      <w:bookmarkEnd w:id="6"/>
      <w:r>
        <w:t>II - LOS ME</w:t>
      </w:r>
      <w:r>
        <w:t>RCADOS Y LOS CONSUMIDORES</w:t>
      </w:r>
    </w:p>
    <w:p w:rsidR="00E40DEA" w:rsidRDefault="004B25EF">
      <w:pPr>
        <w:pStyle w:val="Ttulo2"/>
      </w:pPr>
      <w:bookmarkStart w:id="7" w:name="_lfk81wfv2k" w:colFirst="0" w:colLast="0"/>
      <w:bookmarkEnd w:id="7"/>
      <w:r>
        <w:t>Capítulo 4 - La previsión de la demanda</w:t>
      </w:r>
    </w:p>
    <w:p w:rsidR="00E40DEA" w:rsidRDefault="004B25E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Técnicas de previsión de demanda.</w:t>
      </w:r>
    </w:p>
    <w:p w:rsidR="00E40DEA" w:rsidRDefault="004B25E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Modelos de series temporales. Modelos Arima. Enfoque Box-Jenkins. Función logística.</w:t>
      </w:r>
    </w:p>
    <w:p w:rsidR="00E40DEA" w:rsidRDefault="004B25E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Métodos adaptativos. Alisado exponencial. Distribuciones normal y de Po</w:t>
      </w:r>
      <w:r>
        <w:rPr>
          <w:rFonts w:ascii="Roboto" w:eastAsia="Roboto" w:hAnsi="Roboto" w:cs="Roboto"/>
        </w:rPr>
        <w:t>isson.</w:t>
      </w:r>
    </w:p>
    <w:p w:rsidR="00E40DEA" w:rsidRDefault="004B25E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Simulación de la demanda.</w:t>
      </w:r>
    </w:p>
    <w:p w:rsidR="00E40DEA" w:rsidRDefault="004B25E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Modelos de regresión. Modelos cualitativos. Métodos de exploración tecnológica.</w:t>
      </w:r>
    </w:p>
    <w:p w:rsidR="00E40DEA" w:rsidRDefault="004B25EF">
      <w:pPr>
        <w:pStyle w:val="Ttulo2"/>
      </w:pPr>
      <w:bookmarkStart w:id="8" w:name="_d8uvu53we65t" w:colFirst="0" w:colLast="0"/>
      <w:bookmarkEnd w:id="8"/>
      <w:r>
        <w:t>Capítulo 5 - Investigación de la comercialización</w:t>
      </w:r>
    </w:p>
    <w:p w:rsidR="00E40DEA" w:rsidRDefault="004B25E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El proceso de investigación.</w:t>
      </w:r>
    </w:p>
    <w:p w:rsidR="00E40DEA" w:rsidRDefault="004B25E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Técnicas cuantitativas y cualitativas de recopilación de información. El muestreo.</w:t>
      </w:r>
    </w:p>
    <w:p w:rsidR="00E40DEA" w:rsidRDefault="004B25E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lastRenderedPageBreak/>
        <w:t>El análisis de la información.</w:t>
      </w:r>
    </w:p>
    <w:p w:rsidR="00E40DEA" w:rsidRDefault="004B25E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La investigación experimental.</w:t>
      </w:r>
    </w:p>
    <w:p w:rsidR="00E40DEA" w:rsidRDefault="004B25E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Descripción de resultados y elaboración de informes.</w:t>
      </w:r>
    </w:p>
    <w:p w:rsidR="00E40DEA" w:rsidRDefault="004B25EF">
      <w:pPr>
        <w:pStyle w:val="Ttulo2"/>
      </w:pPr>
      <w:bookmarkStart w:id="9" w:name="_74jkpb17dbdk" w:colFirst="0" w:colLast="0"/>
      <w:bookmarkEnd w:id="9"/>
      <w:r>
        <w:t>Capítulo 6 - El comportamiento del consumidor</w:t>
      </w:r>
    </w:p>
    <w:p w:rsidR="00E40DEA" w:rsidRDefault="004B25E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Enfoques: ec</w:t>
      </w:r>
      <w:r>
        <w:rPr>
          <w:rFonts w:ascii="Roboto" w:eastAsia="Roboto" w:hAnsi="Roboto" w:cs="Roboto"/>
        </w:rPr>
        <w:t>onómico, psicológico, motivacional.</w:t>
      </w:r>
    </w:p>
    <w:p w:rsidR="00E40DEA" w:rsidRDefault="004B25E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Necesidades y deseos. Influencias sobre el comportamiento del consumidor.</w:t>
      </w:r>
    </w:p>
    <w:p w:rsidR="00E40DEA" w:rsidRDefault="004B25E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Evaluación de la información, compra y actitudes posteriores a la compra.</w:t>
      </w:r>
    </w:p>
    <w:p w:rsidR="00E40DEA" w:rsidRDefault="004B25E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Concepto de marca. La fidelidad a la marca.</w:t>
      </w:r>
    </w:p>
    <w:p w:rsidR="00E40DEA" w:rsidRDefault="004B25E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Modelos de comportamiento de</w:t>
      </w:r>
      <w:r>
        <w:rPr>
          <w:rFonts w:ascii="Roboto" w:eastAsia="Roboto" w:hAnsi="Roboto" w:cs="Roboto"/>
        </w:rPr>
        <w:t>l consumidor: Howard-Seth, Nicosia, Bettman, y otros.</w:t>
      </w:r>
    </w:p>
    <w:p w:rsidR="00E40DEA" w:rsidRDefault="004B25EF">
      <w:pPr>
        <w:pStyle w:val="Ttulo2"/>
      </w:pPr>
      <w:bookmarkStart w:id="10" w:name="_rvjy8czff3k0" w:colFirst="0" w:colLast="0"/>
      <w:bookmarkEnd w:id="10"/>
      <w:r>
        <w:t>Capítulo 7 - La segmentación de mercados</w:t>
      </w:r>
    </w:p>
    <w:p w:rsidR="00E40DEA" w:rsidRDefault="004B25E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Diferenciación de productos y segmentación de mercados.</w:t>
      </w:r>
    </w:p>
    <w:p w:rsidR="00E40DEA" w:rsidRDefault="004B25E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Metodología para la segmentación de mercados.</w:t>
      </w:r>
    </w:p>
    <w:p w:rsidR="00E40DEA" w:rsidRDefault="004B25E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Objetivos y diseño de la investigación.</w:t>
      </w:r>
    </w:p>
    <w:p w:rsidR="00E40DEA" w:rsidRDefault="004B25E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Recopilación de dat</w:t>
      </w:r>
      <w:r>
        <w:rPr>
          <w:rFonts w:ascii="Roboto" w:eastAsia="Roboto" w:hAnsi="Roboto" w:cs="Roboto"/>
        </w:rPr>
        <w:t>os.</w:t>
      </w:r>
    </w:p>
    <w:p w:rsidR="00E40DEA" w:rsidRDefault="004B25E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Interpretación de resultados.</w:t>
      </w:r>
    </w:p>
    <w:p w:rsidR="00E40DEA" w:rsidRDefault="004B25EF">
      <w:pPr>
        <w:pStyle w:val="Ttulo2"/>
        <w:jc w:val="center"/>
      </w:pPr>
      <w:bookmarkStart w:id="11" w:name="_nqubd6w2c3qc" w:colFirst="0" w:colLast="0"/>
      <w:bookmarkEnd w:id="11"/>
      <w:r>
        <w:t>III - LA COMERCIALIZACIÓN EN LA EMPRESA</w:t>
      </w:r>
    </w:p>
    <w:p w:rsidR="00E40DEA" w:rsidRDefault="004B25EF">
      <w:pPr>
        <w:pStyle w:val="Ttulo2"/>
      </w:pPr>
      <w:bookmarkStart w:id="12" w:name="_57mv98lpck74" w:colFirst="0" w:colLast="0"/>
      <w:bookmarkEnd w:id="12"/>
      <w:r>
        <w:t>Capítulo 8 - El producto</w:t>
      </w:r>
    </w:p>
    <w:p w:rsidR="00E40DEA" w:rsidRDefault="004B25E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Concepto y clases de productos. Gama de productos.</w:t>
      </w:r>
    </w:p>
    <w:p w:rsidR="00E40DEA" w:rsidRDefault="004B25E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Ciclo de vida del producto. Fases. Estrategias a seguir.</w:t>
      </w:r>
    </w:p>
    <w:p w:rsidR="00E40DEA" w:rsidRDefault="004B25E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Nuevos productos.</w:t>
      </w:r>
    </w:p>
    <w:p w:rsidR="00E40DEA" w:rsidRDefault="004B25E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Estrategias de producto. Envase y marca.</w:t>
      </w:r>
    </w:p>
    <w:p w:rsidR="00E40DEA" w:rsidRDefault="004B25E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Posicionamiento de producto. Estrategias genéricas y específicas.</w:t>
      </w:r>
    </w:p>
    <w:p w:rsidR="00E40DEA" w:rsidRDefault="004B25E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Difusión de productos. Modelos de difusión de productos.</w:t>
      </w:r>
    </w:p>
    <w:p w:rsidR="00E40DEA" w:rsidRDefault="004B25EF">
      <w:pPr>
        <w:pStyle w:val="Ttulo2"/>
      </w:pPr>
      <w:bookmarkStart w:id="13" w:name="_4q6gro4z8nz6" w:colFirst="0" w:colLast="0"/>
      <w:bookmarkEnd w:id="13"/>
      <w:r>
        <w:t>Capítulo 9 - El precio</w:t>
      </w:r>
    </w:p>
    <w:p w:rsidR="00E40DEA" w:rsidRDefault="004B25E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El enfoque microeconómico tradicional. Análisis marginalista. Crítica</w:t>
      </w:r>
      <w:r>
        <w:rPr>
          <w:rFonts w:ascii="Roboto" w:eastAsia="Roboto" w:hAnsi="Roboto" w:cs="Roboto"/>
        </w:rPr>
        <w:t>.</w:t>
      </w:r>
    </w:p>
    <w:p w:rsidR="00E40DEA" w:rsidRDefault="004B25E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Soluciones empresariales al problema. El precio-meta.</w:t>
      </w:r>
    </w:p>
    <w:p w:rsidR="00E40DEA" w:rsidRDefault="004B25E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Punto de equilibrio (breakthrough). Planteos neoclásico y actual.</w:t>
      </w:r>
    </w:p>
    <w:p w:rsidR="00E40DEA" w:rsidRDefault="004B25E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La percepción del consumidor.</w:t>
      </w:r>
    </w:p>
    <w:p w:rsidR="00E40DEA" w:rsidRDefault="004B25E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Objetivos del precio. Estrategias de precios: diferenciales, competitivos, por línea, sicológicos.</w:t>
      </w:r>
    </w:p>
    <w:p w:rsidR="00E40DEA" w:rsidRDefault="004B25EF">
      <w:pPr>
        <w:pStyle w:val="Ttulo2"/>
      </w:pPr>
      <w:bookmarkStart w:id="14" w:name="_3hvo4nckef8f" w:colFirst="0" w:colLast="0"/>
      <w:bookmarkEnd w:id="14"/>
      <w:r>
        <w:t>Capítulo 10 - Estrategia comunicacional</w:t>
      </w:r>
    </w:p>
    <w:p w:rsidR="00E40DEA" w:rsidRDefault="004B25E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La publicidad, definición.</w:t>
      </w:r>
    </w:p>
    <w:p w:rsidR="00E40DEA" w:rsidRDefault="004B25E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Objetivos, medios y soportes publicitarios.</w:t>
      </w:r>
    </w:p>
    <w:p w:rsidR="00E40DEA" w:rsidRDefault="004B25E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Tipos de publicidad. Planificación de medios. Control.</w:t>
      </w:r>
    </w:p>
    <w:p w:rsidR="00E40DEA" w:rsidRDefault="004B25E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lastRenderedPageBreak/>
        <w:t>La fuerza de ventas. Concepto y clasificación. Zonificación. Sistemas de retribución. Cont</w:t>
      </w:r>
      <w:r>
        <w:rPr>
          <w:rFonts w:ascii="Roboto" w:eastAsia="Roboto" w:hAnsi="Roboto" w:cs="Roboto"/>
        </w:rPr>
        <w:t>rol.</w:t>
      </w:r>
    </w:p>
    <w:p w:rsidR="00E40DEA" w:rsidRDefault="004B25E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Promoción de ventas. Merchandising.</w:t>
      </w:r>
    </w:p>
    <w:p w:rsidR="00E40DEA" w:rsidRDefault="004B25EF">
      <w:pPr>
        <w:pStyle w:val="Ttulo2"/>
      </w:pPr>
      <w:bookmarkStart w:id="15" w:name="_3mzgyu5jcxp4" w:colFirst="0" w:colLast="0"/>
      <w:bookmarkEnd w:id="15"/>
      <w:r>
        <w:t>Capítulo 11 - La distribución</w:t>
      </w:r>
    </w:p>
    <w:p w:rsidR="00E40DEA" w:rsidRDefault="004B25E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Necesidad y funciones de los intermediarios.</w:t>
      </w:r>
    </w:p>
    <w:p w:rsidR="00E40DEA" w:rsidRDefault="004B25E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Clases de intermediarios: Minoristas y Mayoristas.</w:t>
      </w:r>
    </w:p>
    <w:p w:rsidR="00E40DEA" w:rsidRDefault="004B25E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Canales de distribución: clases. Estructura y diseño de canales.</w:t>
      </w:r>
    </w:p>
    <w:p w:rsidR="00E40DEA" w:rsidRDefault="004B25E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Distribución física. Alm</w:t>
      </w:r>
      <w:r>
        <w:rPr>
          <w:rFonts w:ascii="Roboto" w:eastAsia="Roboto" w:hAnsi="Roboto" w:cs="Roboto"/>
        </w:rPr>
        <w:t>acenes. Localización de puntos de venta, inventarios.</w:t>
      </w:r>
    </w:p>
    <w:p w:rsidR="00E40DEA" w:rsidRDefault="004B25E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Modelos bajo certeza y riesgo.</w:t>
      </w:r>
    </w:p>
    <w:p w:rsidR="00E40DEA" w:rsidRDefault="004B25E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Modelos de simulación para minoristas.</w:t>
      </w:r>
    </w:p>
    <w:p w:rsidR="00E40DEA" w:rsidRDefault="00E40DEA">
      <w:pPr>
        <w:rPr>
          <w:rFonts w:ascii="Roboto" w:eastAsia="Roboto" w:hAnsi="Roboto" w:cs="Roboto"/>
        </w:rPr>
      </w:pPr>
    </w:p>
    <w:p w:rsidR="00E40DEA" w:rsidRDefault="004B25EF">
      <w:pPr>
        <w:pStyle w:val="Ttulo2"/>
      </w:pPr>
      <w:bookmarkStart w:id="16" w:name="_5ts89gu6sbfc" w:colFirst="0" w:colLast="0"/>
      <w:bookmarkEnd w:id="16"/>
      <w:r>
        <w:t>BIBLIOGRAFÍA</w:t>
      </w:r>
    </w:p>
    <w:p w:rsidR="00E40DEA" w:rsidRDefault="004B25EF">
      <w:pPr>
        <w:pStyle w:val="Ttulo3"/>
      </w:pPr>
      <w:bookmarkStart w:id="17" w:name="_bi1mp4weay2u" w:colFirst="0" w:colLast="0"/>
      <w:bookmarkEnd w:id="17"/>
      <w:r>
        <w:t>Bibliografía básica</w:t>
      </w:r>
    </w:p>
    <w:p w:rsidR="00E40DEA" w:rsidRDefault="004B25EF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Mercadotecnia, Philip Kotler, Prentice-Hall, 5ª Edición.</w:t>
      </w:r>
    </w:p>
    <w:p w:rsidR="00E40DEA" w:rsidRDefault="004B25EF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Dirección de Marketing, Ildefonso Grande, McGraw-Hill. 1ª Edición.</w:t>
      </w:r>
    </w:p>
    <w:p w:rsidR="00E40DEA" w:rsidRDefault="004B25EF">
      <w:pPr>
        <w:pStyle w:val="Ttulo3"/>
      </w:pPr>
      <w:bookmarkStart w:id="18" w:name="_htf0r592hmh9" w:colFirst="0" w:colLast="0"/>
      <w:bookmarkEnd w:id="18"/>
      <w:r>
        <w:t>Bibliografía especial</w:t>
      </w:r>
    </w:p>
    <w:p w:rsidR="00E40DEA" w:rsidRDefault="004B25EF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Política de Precios, Kent B. Monroe, McGraw-Hill, 1ª Edición.</w:t>
      </w:r>
    </w:p>
    <w:p w:rsidR="00E40DEA" w:rsidRDefault="004B25EF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El Proceso Estratégico, Henry Mintzberg-James Brian Quinn, Prentice-Hall, 3ª Edición.</w:t>
      </w:r>
    </w:p>
    <w:p w:rsidR="00E40DEA" w:rsidRDefault="004B25EF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 w:rsidRPr="00C1276D">
        <w:rPr>
          <w:rFonts w:ascii="Roboto" w:eastAsia="Roboto" w:hAnsi="Roboto" w:cs="Roboto"/>
          <w:lang w:val="en-US"/>
        </w:rPr>
        <w:t>Strategy Safari, He</w:t>
      </w:r>
      <w:r w:rsidRPr="00C1276D">
        <w:rPr>
          <w:rFonts w:ascii="Roboto" w:eastAsia="Roboto" w:hAnsi="Roboto" w:cs="Roboto"/>
          <w:lang w:val="en-US"/>
        </w:rPr>
        <w:t xml:space="preserve">nry Mintzberg-Bruce Ahlstrand-Joseph Lampel, Free Press, 1st. </w:t>
      </w:r>
      <w:r>
        <w:rPr>
          <w:rFonts w:ascii="Roboto" w:eastAsia="Roboto" w:hAnsi="Roboto" w:cs="Roboto"/>
        </w:rPr>
        <w:t>Edition.</w:t>
      </w:r>
    </w:p>
    <w:p w:rsidR="00E40DEA" w:rsidRDefault="004B25EF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Estrategia Empresaria, Arnoldo C. Hax y otros (compilación), El Ateneo, McGraw Hill, 3ª Edición.</w:t>
      </w:r>
    </w:p>
    <w:p w:rsidR="00E40DEA" w:rsidRDefault="004B25EF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Administración Estratégica, Fred David, Prentice-Hall, 1ª Edición.</w:t>
      </w:r>
    </w:p>
    <w:p w:rsidR="00E40DEA" w:rsidRDefault="004B25EF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La Marca, Jean-Noel K</w:t>
      </w:r>
      <w:r>
        <w:rPr>
          <w:rFonts w:ascii="Roboto" w:eastAsia="Roboto" w:hAnsi="Roboto" w:cs="Roboto"/>
        </w:rPr>
        <w:t>apferer-Jean-Claude Thoenig, McGraw-Hill, 1ª Edición.</w:t>
      </w:r>
    </w:p>
    <w:p w:rsidR="00E40DEA" w:rsidRDefault="004B25EF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Comportamiento del Consumidor, Schiffman-Kanuk, Prentice-Hall, 1ª Edición.</w:t>
      </w:r>
    </w:p>
    <w:p w:rsidR="00E40DEA" w:rsidRDefault="004B25EF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Teoría Microeconómica, Ferguson-Gould, Fondo de Cultura Económica, 7ª Edición.</w:t>
      </w:r>
    </w:p>
    <w:p w:rsidR="00E40DEA" w:rsidRDefault="004B25EF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Investigación de Mercados, Aaker-Day, McGraw-Hil</w:t>
      </w:r>
      <w:r>
        <w:rPr>
          <w:rFonts w:ascii="Roboto" w:eastAsia="Roboto" w:hAnsi="Roboto" w:cs="Roboto"/>
        </w:rPr>
        <w:t>l, 3ª Edición.</w:t>
      </w:r>
    </w:p>
    <w:p w:rsidR="00E40DEA" w:rsidRDefault="004B25EF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Clínica Empresaria, Gerardo Saporosi, Ed. Macchi, 1ª Edición.</w:t>
      </w:r>
    </w:p>
    <w:p w:rsidR="00E40DEA" w:rsidRDefault="004B25EF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Análisis del Entorno Económico de los Negocios, José M. O’Kean, McGraw-Hill, 1ª Edición.</w:t>
      </w:r>
    </w:p>
    <w:p w:rsidR="00E40DEA" w:rsidRDefault="004B25EF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Marketing Avanzado, Alberto Levy, Granica, 3ª Edición.</w:t>
      </w:r>
    </w:p>
    <w:p w:rsidR="00E40DEA" w:rsidRDefault="004B25EF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Marketing Estratégico, Jean-Jacques</w:t>
      </w:r>
      <w:r>
        <w:rPr>
          <w:rFonts w:ascii="Roboto" w:eastAsia="Roboto" w:hAnsi="Roboto" w:cs="Roboto"/>
        </w:rPr>
        <w:t xml:space="preserve"> Lambin, McGraw Hill, 3ª Edición.</w:t>
      </w:r>
    </w:p>
    <w:p w:rsidR="00E40DEA" w:rsidRDefault="00E40DEA">
      <w:pPr>
        <w:spacing w:after="80" w:line="273" w:lineRule="auto"/>
        <w:ind w:left="720"/>
        <w:rPr>
          <w:rFonts w:ascii="Roboto" w:eastAsia="Roboto" w:hAnsi="Roboto" w:cs="Roboto"/>
        </w:rPr>
      </w:pPr>
    </w:p>
    <w:p w:rsidR="00E40DEA" w:rsidRDefault="00E40DEA">
      <w:pPr>
        <w:spacing w:after="80" w:line="273" w:lineRule="auto"/>
        <w:rPr>
          <w:rFonts w:ascii="Roboto" w:eastAsia="Roboto" w:hAnsi="Roboto" w:cs="Roboto"/>
        </w:rPr>
      </w:pPr>
    </w:p>
    <w:sectPr w:rsidR="00E40DEA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3" w:right="1133" w:bottom="1133" w:left="1133" w:header="566" w:footer="56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25EF" w:rsidRDefault="004B25EF">
      <w:pPr>
        <w:spacing w:line="240" w:lineRule="auto"/>
      </w:pPr>
      <w:r>
        <w:separator/>
      </w:r>
    </w:p>
  </w:endnote>
  <w:endnote w:type="continuationSeparator" w:id="0">
    <w:p w:rsidR="004B25EF" w:rsidRDefault="004B25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2EF" w:usb1="5000205B" w:usb2="00000020" w:usb3="00000000" w:csb0="0000019F" w:csb1="00000000"/>
  </w:font>
  <w:font w:name="Lora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0DEA" w:rsidRDefault="004B25EF">
    <w:pPr>
      <w:jc w:val="right"/>
      <w:rPr>
        <w:rFonts w:ascii="Roboto" w:eastAsia="Roboto" w:hAnsi="Roboto" w:cs="Roboto"/>
        <w:color w:val="16A085"/>
      </w:rPr>
    </w:pPr>
    <w:r>
      <w:rPr>
        <w:rFonts w:ascii="Roboto" w:eastAsia="Roboto" w:hAnsi="Roboto" w:cs="Roboto"/>
        <w:color w:val="16A085"/>
      </w:rPr>
      <w:fldChar w:fldCharType="begin"/>
    </w:r>
    <w:r>
      <w:rPr>
        <w:rFonts w:ascii="Roboto" w:eastAsia="Roboto" w:hAnsi="Roboto" w:cs="Roboto"/>
        <w:color w:val="16A085"/>
      </w:rPr>
      <w:instrText>PAGE</w:instrText>
    </w:r>
    <w:r w:rsidR="00C1276D">
      <w:rPr>
        <w:rFonts w:ascii="Roboto" w:eastAsia="Roboto" w:hAnsi="Roboto" w:cs="Roboto"/>
        <w:color w:val="16A085"/>
      </w:rPr>
      <w:fldChar w:fldCharType="separate"/>
    </w:r>
    <w:r w:rsidR="00C1276D">
      <w:rPr>
        <w:rFonts w:ascii="Roboto" w:eastAsia="Roboto" w:hAnsi="Roboto" w:cs="Roboto"/>
        <w:noProof/>
        <w:color w:val="16A085"/>
      </w:rPr>
      <w:t>1</w:t>
    </w:r>
    <w:r>
      <w:rPr>
        <w:rFonts w:ascii="Roboto" w:eastAsia="Roboto" w:hAnsi="Roboto" w:cs="Roboto"/>
        <w:color w:val="16A085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0DEA" w:rsidRDefault="004B25EF">
    <w:pPr>
      <w:jc w:val="right"/>
      <w:rPr>
        <w:color w:val="16A085"/>
      </w:rPr>
    </w:pPr>
    <w:r>
      <w:rPr>
        <w:color w:val="16A085"/>
      </w:rPr>
      <w:fldChar w:fldCharType="begin"/>
    </w:r>
    <w:r>
      <w:rPr>
        <w:color w:val="16A085"/>
      </w:rPr>
      <w:instrText>PAGE</w:instrText>
    </w:r>
    <w:r>
      <w:rPr>
        <w:color w:val="16A08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25EF" w:rsidRDefault="004B25EF">
      <w:pPr>
        <w:spacing w:line="240" w:lineRule="auto"/>
      </w:pPr>
      <w:r>
        <w:separator/>
      </w:r>
    </w:p>
  </w:footnote>
  <w:footnote w:type="continuationSeparator" w:id="0">
    <w:p w:rsidR="004B25EF" w:rsidRDefault="004B25E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0DEA" w:rsidRDefault="00E40DEA">
    <w:pPr>
      <w:spacing w:line="240" w:lineRule="auto"/>
      <w:rPr>
        <w:rFonts w:ascii="Roboto" w:eastAsia="Roboto" w:hAnsi="Roboto" w:cs="Roboto"/>
        <w:sz w:val="4"/>
        <w:szCs w:val="4"/>
      </w:rPr>
    </w:pPr>
  </w:p>
  <w:tbl>
    <w:tblPr>
      <w:tblStyle w:val="a0"/>
      <w:tblW w:w="9630" w:type="dxa"/>
      <w:jc w:val="center"/>
      <w:tblInd w:w="0" w:type="dxa"/>
      <w:tblLayout w:type="fixed"/>
      <w:tblLook w:val="0600" w:firstRow="0" w:lastRow="0" w:firstColumn="0" w:lastColumn="0" w:noHBand="1" w:noVBand="1"/>
    </w:tblPr>
    <w:tblGrid>
      <w:gridCol w:w="1245"/>
      <w:gridCol w:w="2550"/>
      <w:gridCol w:w="1275"/>
      <w:gridCol w:w="1350"/>
      <w:gridCol w:w="1230"/>
      <w:gridCol w:w="1980"/>
    </w:tblGrid>
    <w:tr w:rsidR="00E40DEA">
      <w:trPr>
        <w:trHeight w:val="1140"/>
        <w:jc w:val="center"/>
      </w:trPr>
      <w:tc>
        <w:tcPr>
          <w:tcW w:w="1245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E40DEA" w:rsidRDefault="004B25EF">
          <w:pPr>
            <w:spacing w:after="40" w:line="264" w:lineRule="auto"/>
            <w:jc w:val="left"/>
            <w:rPr>
              <w:rFonts w:ascii="Lora" w:eastAsia="Lora" w:hAnsi="Lora" w:cs="Lora"/>
              <w:b/>
              <w:sz w:val="18"/>
              <w:szCs w:val="18"/>
            </w:rPr>
          </w:pPr>
          <w:r>
            <w:rPr>
              <w:rFonts w:ascii="Lora" w:eastAsia="Lora" w:hAnsi="Lora" w:cs="Lora"/>
              <w:b/>
              <w:noProof/>
              <w:sz w:val="18"/>
              <w:szCs w:val="18"/>
              <w:lang w:val="en-US"/>
            </w:rPr>
            <w:drawing>
              <wp:inline distT="114300" distB="114300" distL="114300" distR="114300">
                <wp:extent cx="762000" cy="617175"/>
                <wp:effectExtent l="0" t="0" r="0" b="0"/>
                <wp:docPr id="1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"/>
                        <a:srcRect t="9031" b="974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2000" cy="6171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50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E40DEA" w:rsidRDefault="004B25EF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40" w:line="264" w:lineRule="auto"/>
            <w:jc w:val="center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sz w:val="18"/>
              <w:szCs w:val="18"/>
            </w:rPr>
            <w:t>Departamento de Ingeniería Química y en Alimentos</w:t>
          </w:r>
        </w:p>
      </w:tc>
      <w:tc>
        <w:tcPr>
          <w:tcW w:w="1275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E40DEA" w:rsidRDefault="004B25EF">
          <w:pPr>
            <w:spacing w:after="40" w:line="264" w:lineRule="auto"/>
            <w:jc w:val="right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noProof/>
              <w:sz w:val="18"/>
              <w:szCs w:val="18"/>
              <w:lang w:val="en-US"/>
            </w:rPr>
            <w:drawing>
              <wp:inline distT="114300" distB="114300" distL="114300" distR="114300">
                <wp:extent cx="819150" cy="642938"/>
                <wp:effectExtent l="0" t="0" r="0" b="0"/>
                <wp:docPr id="2" name="image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2"/>
                        <a:srcRect t="12790" b="872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9150" cy="64293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50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E40DEA" w:rsidRDefault="004B25EF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40" w:line="264" w:lineRule="auto"/>
            <w:jc w:val="center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sz w:val="18"/>
              <w:szCs w:val="18"/>
            </w:rPr>
            <w:t>Facultad de Ingeniería</w:t>
          </w:r>
        </w:p>
      </w:tc>
      <w:tc>
        <w:tcPr>
          <w:tcW w:w="1230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E40DEA" w:rsidRDefault="004B25EF">
          <w:pPr>
            <w:spacing w:after="40" w:line="264" w:lineRule="auto"/>
            <w:jc w:val="right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noProof/>
              <w:sz w:val="18"/>
              <w:szCs w:val="18"/>
              <w:lang w:val="en-US"/>
            </w:rPr>
            <w:drawing>
              <wp:inline distT="114300" distB="114300" distL="114300" distR="114300">
                <wp:extent cx="544875" cy="544875"/>
                <wp:effectExtent l="0" t="0" r="0" b="0"/>
                <wp:docPr id="3" name="image5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4875" cy="5448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80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E40DEA" w:rsidRDefault="004B25EF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40" w:line="264" w:lineRule="auto"/>
            <w:jc w:val="center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sz w:val="18"/>
              <w:szCs w:val="18"/>
            </w:rPr>
            <w:t>Universidad Nacional de Mar del Plata</w:t>
          </w:r>
        </w:p>
      </w:tc>
    </w:tr>
  </w:tbl>
  <w:p w:rsidR="00E40DEA" w:rsidRDefault="004B25EF">
    <w:pPr>
      <w:spacing w:line="240" w:lineRule="auto"/>
    </w:pPr>
    <w:r>
      <w:pict>
        <v:rect id="_x0000_i1026" style="width:0;height:1.5pt" o:hralign="center" o:hrstd="t" o:hr="t" fillcolor="#a0a0a0" stroked="f"/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0DEA" w:rsidRDefault="00E40DEA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396201"/>
    <w:multiLevelType w:val="multilevel"/>
    <w:tmpl w:val="38128DF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664066F5"/>
    <w:multiLevelType w:val="multilevel"/>
    <w:tmpl w:val="0BFAEBB4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DEA"/>
    <w:rsid w:val="004B25EF"/>
    <w:rsid w:val="00C1276D"/>
    <w:rsid w:val="00E40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32C6E79-F29E-4707-A0DE-6242DA067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s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jc w:val="center"/>
      <w:outlineLvl w:val="0"/>
    </w:pPr>
    <w:rPr>
      <w:rFonts w:ascii="Roboto" w:eastAsia="Roboto" w:hAnsi="Roboto" w:cs="Roboto"/>
      <w:b/>
      <w:color w:val="16A085"/>
      <w:sz w:val="32"/>
      <w:szCs w:val="32"/>
    </w:rPr>
  </w:style>
  <w:style w:type="paragraph" w:styleId="Ttulo2">
    <w:name w:val="heading 2"/>
    <w:basedOn w:val="Normal"/>
    <w:next w:val="Normal"/>
    <w:pPr>
      <w:keepNext/>
      <w:keepLines/>
      <w:spacing w:before="200" w:after="40" w:line="271" w:lineRule="auto"/>
      <w:outlineLvl w:val="1"/>
    </w:pPr>
    <w:rPr>
      <w:rFonts w:ascii="Roboto" w:eastAsia="Roboto" w:hAnsi="Roboto" w:cs="Roboto"/>
      <w:b/>
      <w:color w:val="16A085"/>
      <w:sz w:val="28"/>
      <w:szCs w:val="28"/>
    </w:rPr>
  </w:style>
  <w:style w:type="paragraph" w:styleId="Ttulo3">
    <w:name w:val="heading 3"/>
    <w:basedOn w:val="Normal"/>
    <w:next w:val="Normal"/>
    <w:pPr>
      <w:keepNext/>
      <w:keepLines/>
      <w:spacing w:before="320" w:after="80" w:line="273" w:lineRule="auto"/>
      <w:outlineLvl w:val="2"/>
    </w:pPr>
    <w:rPr>
      <w:rFonts w:ascii="Roboto" w:eastAsia="Roboto" w:hAnsi="Roboto" w:cs="Roboto"/>
      <w:b/>
      <w:i/>
      <w:color w:val="434343"/>
      <w:sz w:val="24"/>
      <w:szCs w:val="24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698</Words>
  <Characters>3980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</dc:creator>
  <cp:lastModifiedBy>Ju</cp:lastModifiedBy>
  <cp:revision>2</cp:revision>
  <dcterms:created xsi:type="dcterms:W3CDTF">2019-03-10T21:36:00Z</dcterms:created>
  <dcterms:modified xsi:type="dcterms:W3CDTF">2019-03-10T21:36:00Z</dcterms:modified>
</cp:coreProperties>
</file>