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B8B" w:rsidRDefault="00AB2B8B">
      <w:pPr>
        <w:rPr>
          <w:rFonts w:ascii="Roboto" w:eastAsia="Roboto" w:hAnsi="Roboto" w:cs="Roboto"/>
          <w:sz w:val="16"/>
          <w:szCs w:val="16"/>
        </w:rPr>
      </w:pPr>
    </w:p>
    <w:tbl>
      <w:tblPr>
        <w:tblStyle w:val="a"/>
        <w:tblW w:w="9630" w:type="dxa"/>
        <w:jc w:val="center"/>
        <w:tblInd w:w="0" w:type="dxa"/>
        <w:tblLayout w:type="fixed"/>
        <w:tblLook w:val="0600" w:firstRow="0" w:lastRow="0" w:firstColumn="0" w:lastColumn="0" w:noHBand="1" w:noVBand="1"/>
      </w:tblPr>
      <w:tblGrid>
        <w:gridCol w:w="1710"/>
        <w:gridCol w:w="5865"/>
        <w:gridCol w:w="855"/>
        <w:gridCol w:w="1200"/>
      </w:tblGrid>
      <w:tr w:rsidR="00AB2B8B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AB2B8B" w:rsidRDefault="00796258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CARRERA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AB2B8B" w:rsidRDefault="00796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Ingeniería Química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AB2B8B" w:rsidRDefault="00796258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PLAN</w:t>
            </w: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AB2B8B" w:rsidRDefault="00796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2003</w:t>
            </w:r>
          </w:p>
        </w:tc>
      </w:tr>
      <w:tr w:rsidR="00AB2B8B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AB2B8B" w:rsidRDefault="00796258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ASIGNATURA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AB2B8B" w:rsidRDefault="00796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Gestión Ambiental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AB2B8B" w:rsidRDefault="00796258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COD.</w:t>
            </w: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AB2B8B" w:rsidRDefault="00796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832</w:t>
            </w:r>
          </w:p>
        </w:tc>
      </w:tr>
      <w:tr w:rsidR="00AB2B8B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AB2B8B" w:rsidRDefault="00796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TIPO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AB2B8B" w:rsidRDefault="00796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Optativa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AB2B8B" w:rsidRDefault="00AB2B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AB2B8B" w:rsidRDefault="00AB2B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sz w:val="24"/>
                <w:szCs w:val="24"/>
              </w:rPr>
            </w:pPr>
          </w:p>
        </w:tc>
      </w:tr>
    </w:tbl>
    <w:p w:rsidR="00AB2B8B" w:rsidRDefault="00796258">
      <w:pPr>
        <w:rPr>
          <w:rFonts w:ascii="Roboto" w:eastAsia="Roboto" w:hAnsi="Roboto" w:cs="Roboto"/>
        </w:rPr>
      </w:pPr>
      <w:r>
        <w:pict>
          <v:rect id="_x0000_i1025" style="width:0;height:1.5pt" o:hralign="center" o:hrstd="t" o:hr="t" fillcolor="#a0a0a0" stroked="f"/>
        </w:pict>
      </w:r>
    </w:p>
    <w:p w:rsidR="00AB2B8B" w:rsidRDefault="00796258">
      <w:pPr>
        <w:pStyle w:val="Ttulo1"/>
      </w:pPr>
      <w:bookmarkStart w:id="0" w:name="_nddimbltco0o" w:colFirst="0" w:colLast="0"/>
      <w:bookmarkEnd w:id="0"/>
      <w:r>
        <w:t xml:space="preserve">PROGRAMA ANALÍTICO </w:t>
      </w:r>
    </w:p>
    <w:p w:rsidR="00AB2B8B" w:rsidRDefault="00796258">
      <w:pPr>
        <w:jc w:val="center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>(A partir del Ciclo Lectivo 2017)</w:t>
      </w:r>
    </w:p>
    <w:p w:rsidR="00AB2B8B" w:rsidRDefault="00796258">
      <w:pPr>
        <w:pStyle w:val="Ttulo2"/>
      </w:pPr>
      <w:bookmarkStart w:id="1" w:name="_grxc4uig9mzv" w:colFirst="0" w:colLast="0"/>
      <w:bookmarkEnd w:id="1"/>
      <w:r>
        <w:t>UNIDAD I - Ciencia Ambiental</w:t>
      </w:r>
    </w:p>
    <w:p w:rsidR="00AB2B8B" w:rsidRDefault="00796258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Alcance de los problemas medioambientales. Perturbaciones de origen humano. Contaminación del agua. Contaminación del aire. Residuos sólidos. Residuos peligrosos. Administración del ambiente. </w:t>
      </w:r>
    </w:p>
    <w:p w:rsidR="00AB2B8B" w:rsidRDefault="00796258">
      <w:pPr>
        <w:pStyle w:val="Ttulo2"/>
      </w:pPr>
      <w:bookmarkStart w:id="2" w:name="_hro7x7ngq4o9" w:colFirst="0" w:colLast="0"/>
      <w:bookmarkEnd w:id="2"/>
      <w:r>
        <w:t>UNIDAD II - Las Empresas Y Los Sistemas De Gestión Ambiental</w:t>
      </w:r>
    </w:p>
    <w:p w:rsidR="00AB2B8B" w:rsidRDefault="00796258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El</w:t>
      </w:r>
      <w:r>
        <w:rPr>
          <w:rFonts w:ascii="Roboto" w:eastAsia="Roboto" w:hAnsi="Roboto" w:cs="Roboto"/>
        </w:rPr>
        <w:t xml:space="preserve"> interés por los temas ambientales. El cumplimiento de las normas en las empresas. Necesidad de operación en base a las normas ISO 14000, sus fundamentos. Los temas ambientales y las operaciones normales de la empresa. Cómo desarrollar un sistema de gestió</w:t>
      </w:r>
      <w:r>
        <w:rPr>
          <w:rFonts w:ascii="Roboto" w:eastAsia="Roboto" w:hAnsi="Roboto" w:cs="Roboto"/>
        </w:rPr>
        <w:t xml:space="preserve">n ambiental para la empresa. Los aspectos legales, el manejo de las reglamentaciones por parte de la empresa. </w:t>
      </w:r>
    </w:p>
    <w:p w:rsidR="00AB2B8B" w:rsidRDefault="00796258">
      <w:pPr>
        <w:pStyle w:val="Ttulo2"/>
      </w:pPr>
      <w:bookmarkStart w:id="3" w:name="_k9yjc6rqwfsk" w:colFirst="0" w:colLast="0"/>
      <w:bookmarkEnd w:id="3"/>
      <w:r>
        <w:t>UNIDAD III - Desarrollo Sostenible Y Las Normas ISO 14000</w:t>
      </w:r>
    </w:p>
    <w:p w:rsidR="00AB2B8B" w:rsidRDefault="00796258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El medio ambiente y el desarrollo sostenible. Responsabilidad ambiental compartida. Con</w:t>
      </w:r>
      <w:r>
        <w:rPr>
          <w:rFonts w:ascii="Roboto" w:eastAsia="Roboto" w:hAnsi="Roboto" w:cs="Roboto"/>
        </w:rPr>
        <w:t>tenido de la serie ISO 14000. Implementación de las normas ISO 14000. Estudio detallado de las normas ISO 14001 y 14004. El sistema de Gestión Ambiental y el Plan estratégico de la Empresa. UNIDAD IV El Sistema De Gestión Ambiental.</w:t>
      </w:r>
    </w:p>
    <w:p w:rsidR="00AB2B8B" w:rsidRDefault="00796258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La rueda de Deming apli</w:t>
      </w:r>
      <w:r>
        <w:rPr>
          <w:rFonts w:ascii="Roboto" w:eastAsia="Roboto" w:hAnsi="Roboto" w:cs="Roboto"/>
        </w:rPr>
        <w:t xml:space="preserve">cada a la gestión ambiental. Preparación de la organización para adecuar los procesos a la serie ISO 14000. Análisis del Gap – Revisión Inicial. </w:t>
      </w:r>
    </w:p>
    <w:p w:rsidR="00AB2B8B" w:rsidRDefault="00796258">
      <w:pPr>
        <w:pStyle w:val="Ttulo2"/>
      </w:pPr>
      <w:bookmarkStart w:id="4" w:name="_qccd947fan5r" w:colFirst="0" w:colLast="0"/>
      <w:bookmarkEnd w:id="4"/>
      <w:r>
        <w:t>UNIDAD V - Planificación de los Sistemas de Gestión Ambiental</w:t>
      </w:r>
    </w:p>
    <w:p w:rsidR="00AB2B8B" w:rsidRDefault="00796258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Análisis del contexto de la Organización y de la</w:t>
      </w:r>
      <w:r>
        <w:rPr>
          <w:rFonts w:ascii="Roboto" w:eastAsia="Roboto" w:hAnsi="Roboto" w:cs="Roboto"/>
        </w:rPr>
        <w:t xml:space="preserve">s Partes Interesadas - Compromiso de la dirección - Política Ambiental – Liderazgo – Planificación – Aspectos e Impactos ambientales – Requisitos legales y de otro tipo – Objetivos ambientales y su planificación - Riesgos y Oportunidades. </w:t>
      </w:r>
    </w:p>
    <w:p w:rsidR="00AB2B8B" w:rsidRDefault="00796258">
      <w:pPr>
        <w:pStyle w:val="Ttulo2"/>
      </w:pPr>
      <w:bookmarkStart w:id="5" w:name="_1i9k2fsa06wl" w:colFirst="0" w:colLast="0"/>
      <w:bookmarkEnd w:id="5"/>
      <w:r>
        <w:t>UNIDAD VI - Apoy</w:t>
      </w:r>
      <w:r>
        <w:t>o</w:t>
      </w:r>
    </w:p>
    <w:p w:rsidR="00AB2B8B" w:rsidRDefault="00796258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Provisión de recursos – Competencia y Toma de conciencia – Comunicación Interna y externa – Información documentada: Procedimientos, instructivos y registros. </w:t>
      </w:r>
    </w:p>
    <w:p w:rsidR="00AB2B8B" w:rsidRDefault="00796258">
      <w:pPr>
        <w:pStyle w:val="Ttulo2"/>
      </w:pPr>
      <w:bookmarkStart w:id="6" w:name="_1q9ygcsyutnr" w:colFirst="0" w:colLast="0"/>
      <w:bookmarkEnd w:id="6"/>
      <w:r>
        <w:t>UNIDAD VII - Operación de los Sistemas de Gestión Ambiental</w:t>
      </w:r>
    </w:p>
    <w:p w:rsidR="00AB2B8B" w:rsidRDefault="00796258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Planificación y control operaciona</w:t>
      </w:r>
      <w:r>
        <w:rPr>
          <w:rFonts w:ascii="Roboto" w:eastAsia="Roboto" w:hAnsi="Roboto" w:cs="Roboto"/>
        </w:rPr>
        <w:t xml:space="preserve">l – Preparación y respuesta ante </w:t>
      </w:r>
      <w:r w:rsidR="001E06AA">
        <w:rPr>
          <w:rFonts w:ascii="Roboto" w:eastAsia="Roboto" w:hAnsi="Roboto" w:cs="Roboto"/>
        </w:rPr>
        <w:t>emergencias.</w:t>
      </w:r>
    </w:p>
    <w:p w:rsidR="00AB2B8B" w:rsidRDefault="00796258">
      <w:pPr>
        <w:pStyle w:val="Ttulo2"/>
      </w:pPr>
      <w:bookmarkStart w:id="7" w:name="_s07hu7pn3m8n" w:colFirst="0" w:colLast="0"/>
      <w:bookmarkEnd w:id="7"/>
      <w:r>
        <w:lastRenderedPageBreak/>
        <w:t>UNIDAD VIII - Evaluación del Desempeño y Mejora de los Sistemas de Gestión Ambiental</w:t>
      </w:r>
    </w:p>
    <w:p w:rsidR="00AB2B8B" w:rsidRDefault="00796258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Seguimiento, Medición, análisis y evaluación – Evaluación del cumplimiento legal Auditorias – Definiciones - Propósito de la</w:t>
      </w:r>
      <w:r>
        <w:rPr>
          <w:rFonts w:ascii="Roboto" w:eastAsia="Roboto" w:hAnsi="Roboto" w:cs="Roboto"/>
        </w:rPr>
        <w:t xml:space="preserve"> auditoría - El programa de auditoría - Los distintos tipos de auditoría - El equipo auditor - Los pasos de una auditoría - El Informe - Implementación de acciones correctivas. Norma ISO 19011. Revisión por la dirección. – Mejora del Sistema de Gestión de </w:t>
      </w:r>
      <w:r>
        <w:rPr>
          <w:rFonts w:ascii="Roboto" w:eastAsia="Roboto" w:hAnsi="Roboto" w:cs="Roboto"/>
        </w:rPr>
        <w:t xml:space="preserve">la Calidad - No conformidades y Acciones Correctivas - Mejora continua. Pasos para la implementación de la mejora continua. </w:t>
      </w:r>
    </w:p>
    <w:p w:rsidR="00AB2B8B" w:rsidRDefault="00796258">
      <w:pPr>
        <w:pStyle w:val="Ttulo2"/>
      </w:pPr>
      <w:bookmarkStart w:id="8" w:name="_1pakicy678d4" w:colFirst="0" w:colLast="0"/>
      <w:bookmarkEnd w:id="8"/>
      <w:r>
        <w:t>UNIDAD IX - Integración con otros sistemas de Gestión</w:t>
      </w:r>
    </w:p>
    <w:p w:rsidR="00AB2B8B" w:rsidRDefault="00796258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Sistemas de Gestión de la Calidad - Sistemas de Gestión de Salud y Seguridad </w:t>
      </w:r>
      <w:r>
        <w:rPr>
          <w:rFonts w:ascii="Roboto" w:eastAsia="Roboto" w:hAnsi="Roboto" w:cs="Roboto"/>
        </w:rPr>
        <w:t xml:space="preserve">Ocupacional – Otros sistemas de gestión. </w:t>
      </w:r>
    </w:p>
    <w:p w:rsidR="00AB2B8B" w:rsidRDefault="00796258">
      <w:pPr>
        <w:pStyle w:val="Ttulo2"/>
      </w:pPr>
      <w:bookmarkStart w:id="9" w:name="_z6td6gouvxhj" w:colFirst="0" w:colLast="0"/>
      <w:bookmarkEnd w:id="9"/>
      <w:r>
        <w:t>UNIDAD X - Certificación</w:t>
      </w:r>
    </w:p>
    <w:p w:rsidR="00AB2B8B" w:rsidRDefault="00796258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El proceso de certificación. El proceso de certificación. La preparación interna. Certificación y mantenimiento de la certificación.</w:t>
      </w:r>
    </w:p>
    <w:p w:rsidR="00AB2B8B" w:rsidRDefault="00AB2B8B">
      <w:pPr>
        <w:rPr>
          <w:rFonts w:ascii="Roboto" w:eastAsia="Roboto" w:hAnsi="Roboto" w:cs="Roboto"/>
        </w:rPr>
      </w:pPr>
    </w:p>
    <w:p w:rsidR="00AB2B8B" w:rsidRDefault="00796258">
      <w:pPr>
        <w:pStyle w:val="Ttulo2"/>
      </w:pPr>
      <w:bookmarkStart w:id="10" w:name="_5ts89gu6sbfc" w:colFirst="0" w:colLast="0"/>
      <w:bookmarkEnd w:id="10"/>
      <w:r>
        <w:t>BIBLIOGRAFÍA</w:t>
      </w:r>
    </w:p>
    <w:p w:rsidR="00AB2B8B" w:rsidRDefault="00796258">
      <w:pPr>
        <w:pStyle w:val="Ttulo3"/>
      </w:pPr>
      <w:bookmarkStart w:id="11" w:name="_pgbnpy6kt91k" w:colFirst="0" w:colLast="0"/>
      <w:bookmarkEnd w:id="11"/>
      <w:r>
        <w:t>Bibliografía Obligatoria</w:t>
      </w:r>
    </w:p>
    <w:p w:rsidR="00AB2B8B" w:rsidRDefault="00796258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Ingeniería Ambien</w:t>
      </w:r>
      <w:r>
        <w:rPr>
          <w:rFonts w:ascii="Roboto" w:eastAsia="Roboto" w:hAnsi="Roboto" w:cs="Roboto"/>
        </w:rPr>
        <w:t>tal, J. Glynn Henry- Gary W. Heinke. Ed. Pearsons, 1999.</w:t>
      </w:r>
    </w:p>
    <w:p w:rsidR="00AB2B8B" w:rsidRDefault="00796258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NORMAS ISO 14000: 14001 y 14004.</w:t>
      </w:r>
    </w:p>
    <w:p w:rsidR="00AB2B8B" w:rsidRDefault="00796258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NORMA ISO 19011. </w:t>
      </w:r>
    </w:p>
    <w:p w:rsidR="00AB2B8B" w:rsidRDefault="00796258">
      <w:pPr>
        <w:pStyle w:val="Ttulo3"/>
      </w:pPr>
      <w:bookmarkStart w:id="12" w:name="_osm2yotyswvo" w:colFirst="0" w:colLast="0"/>
      <w:bookmarkEnd w:id="12"/>
      <w:r>
        <w:t>Bibliografía Complementaria</w:t>
      </w:r>
    </w:p>
    <w:p w:rsidR="00AB2B8B" w:rsidRDefault="00796258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Sistemas de Gestión Medioambiental, David Hunt – Catherine Jonson. Ed. Mc Graw Hill 1996.</w:t>
      </w:r>
    </w:p>
    <w:p w:rsidR="00AB2B8B" w:rsidRDefault="00796258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Valoración económica de la calidad ambiental, Diego Azqueta Oyarzun. Ed. Mc. Graw Hill 1996.</w:t>
      </w:r>
    </w:p>
    <w:p w:rsidR="00AB2B8B" w:rsidRPr="001E06AA" w:rsidRDefault="00796258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  <w:lang w:val="en-US"/>
        </w:rPr>
      </w:pPr>
      <w:r w:rsidRPr="001E06AA">
        <w:rPr>
          <w:rFonts w:ascii="Roboto" w:eastAsia="Roboto" w:hAnsi="Roboto" w:cs="Roboto"/>
          <w:lang w:val="en-US"/>
        </w:rPr>
        <w:t>The ISO 14000 Handbook, Joseph Cascio, ASQC,</w:t>
      </w:r>
      <w:r w:rsidR="001E06AA">
        <w:rPr>
          <w:rFonts w:ascii="Roboto" w:eastAsia="Roboto" w:hAnsi="Roboto" w:cs="Roboto"/>
          <w:lang w:val="en-US"/>
        </w:rPr>
        <w:t xml:space="preserve"> </w:t>
      </w:r>
      <w:r w:rsidRPr="001E06AA">
        <w:rPr>
          <w:rFonts w:ascii="Roboto" w:eastAsia="Roboto" w:hAnsi="Roboto" w:cs="Roboto"/>
          <w:lang w:val="en-US"/>
        </w:rPr>
        <w:t>1996.</w:t>
      </w:r>
      <w:bookmarkStart w:id="13" w:name="_GoBack"/>
      <w:bookmarkEnd w:id="13"/>
    </w:p>
    <w:p w:rsidR="00AB2B8B" w:rsidRDefault="00796258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Auditorías Medioambientales, Vicente Conesa Fdez. Ed. Mundi-Prensa 1995.</w:t>
      </w:r>
    </w:p>
    <w:p w:rsidR="00AB2B8B" w:rsidRDefault="00796258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 w:rsidRPr="001E06AA">
        <w:rPr>
          <w:rFonts w:ascii="Roboto" w:eastAsia="Roboto" w:hAnsi="Roboto" w:cs="Roboto"/>
          <w:lang w:val="en-US"/>
        </w:rPr>
        <w:t>Introduction to Environmental Engineerin</w:t>
      </w:r>
      <w:r w:rsidRPr="001E06AA">
        <w:rPr>
          <w:rFonts w:ascii="Roboto" w:eastAsia="Roboto" w:hAnsi="Roboto" w:cs="Roboto"/>
          <w:lang w:val="en-US"/>
        </w:rPr>
        <w:t xml:space="preserve">g and Science, Gilbert Masters. </w:t>
      </w:r>
      <w:r>
        <w:rPr>
          <w:rFonts w:ascii="Roboto" w:eastAsia="Roboto" w:hAnsi="Roboto" w:cs="Roboto"/>
        </w:rPr>
        <w:t>Ed Prentice Hall 1997.</w:t>
      </w:r>
    </w:p>
    <w:p w:rsidR="00AB2B8B" w:rsidRDefault="00796258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ISO 14001 EMS: Manual de Sistema de Gestión Medioambiental, Hewitt, Roberts. Ed. Paraninfo, 1999.</w:t>
      </w:r>
    </w:p>
    <w:p w:rsidR="00AB2B8B" w:rsidRDefault="00AB2B8B">
      <w:pPr>
        <w:spacing w:after="80" w:line="273" w:lineRule="auto"/>
        <w:rPr>
          <w:rFonts w:ascii="Roboto" w:eastAsia="Roboto" w:hAnsi="Roboto" w:cs="Roboto"/>
        </w:rPr>
      </w:pPr>
    </w:p>
    <w:sectPr w:rsidR="00AB2B8B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3" w:right="1133" w:bottom="1133" w:left="1133" w:header="566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6258" w:rsidRDefault="00796258">
      <w:pPr>
        <w:spacing w:line="240" w:lineRule="auto"/>
      </w:pPr>
      <w:r>
        <w:separator/>
      </w:r>
    </w:p>
  </w:endnote>
  <w:endnote w:type="continuationSeparator" w:id="0">
    <w:p w:rsidR="00796258" w:rsidRDefault="007962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default"/>
  </w:font>
  <w:font w:name="Lora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B8B" w:rsidRDefault="00796258">
    <w:pPr>
      <w:jc w:val="right"/>
      <w:rPr>
        <w:rFonts w:ascii="Roboto" w:eastAsia="Roboto" w:hAnsi="Roboto" w:cs="Roboto"/>
        <w:color w:val="16A085"/>
      </w:rPr>
    </w:pPr>
    <w:r>
      <w:rPr>
        <w:rFonts w:ascii="Roboto" w:eastAsia="Roboto" w:hAnsi="Roboto" w:cs="Roboto"/>
        <w:color w:val="16A085"/>
      </w:rPr>
      <w:fldChar w:fldCharType="begin"/>
    </w:r>
    <w:r>
      <w:rPr>
        <w:rFonts w:ascii="Roboto" w:eastAsia="Roboto" w:hAnsi="Roboto" w:cs="Roboto"/>
        <w:color w:val="16A085"/>
      </w:rPr>
      <w:instrText>PAGE</w:instrText>
    </w:r>
    <w:r w:rsidR="001E06AA">
      <w:rPr>
        <w:rFonts w:ascii="Roboto" w:eastAsia="Roboto" w:hAnsi="Roboto" w:cs="Roboto"/>
        <w:color w:val="16A085"/>
      </w:rPr>
      <w:fldChar w:fldCharType="separate"/>
    </w:r>
    <w:r w:rsidR="001E06AA">
      <w:rPr>
        <w:rFonts w:ascii="Roboto" w:eastAsia="Roboto" w:hAnsi="Roboto" w:cs="Roboto"/>
        <w:noProof/>
        <w:color w:val="16A085"/>
      </w:rPr>
      <w:t>2</w:t>
    </w:r>
    <w:r>
      <w:rPr>
        <w:rFonts w:ascii="Roboto" w:eastAsia="Roboto" w:hAnsi="Roboto" w:cs="Roboto"/>
        <w:color w:val="16A08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B8B" w:rsidRDefault="00796258">
    <w:pPr>
      <w:jc w:val="right"/>
      <w:rPr>
        <w:color w:val="16A085"/>
      </w:rPr>
    </w:pPr>
    <w:r>
      <w:rPr>
        <w:color w:val="16A085"/>
      </w:rPr>
      <w:fldChar w:fldCharType="begin"/>
    </w:r>
    <w:r>
      <w:rPr>
        <w:color w:val="16A085"/>
      </w:rPr>
      <w:instrText>PAGE</w:instrText>
    </w:r>
    <w:r>
      <w:rPr>
        <w:color w:val="16A08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6258" w:rsidRDefault="00796258">
      <w:pPr>
        <w:spacing w:line="240" w:lineRule="auto"/>
      </w:pPr>
      <w:r>
        <w:separator/>
      </w:r>
    </w:p>
  </w:footnote>
  <w:footnote w:type="continuationSeparator" w:id="0">
    <w:p w:rsidR="00796258" w:rsidRDefault="0079625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B8B" w:rsidRDefault="00AB2B8B">
    <w:pPr>
      <w:spacing w:line="240" w:lineRule="auto"/>
      <w:rPr>
        <w:rFonts w:ascii="Roboto" w:eastAsia="Roboto" w:hAnsi="Roboto" w:cs="Roboto"/>
        <w:sz w:val="4"/>
        <w:szCs w:val="4"/>
      </w:rPr>
    </w:pPr>
  </w:p>
  <w:tbl>
    <w:tblPr>
      <w:tblStyle w:val="a0"/>
      <w:tblW w:w="9630" w:type="dxa"/>
      <w:jc w:val="center"/>
      <w:tblInd w:w="0" w:type="dxa"/>
      <w:tblLayout w:type="fixed"/>
      <w:tblLook w:val="0600" w:firstRow="0" w:lastRow="0" w:firstColumn="0" w:lastColumn="0" w:noHBand="1" w:noVBand="1"/>
    </w:tblPr>
    <w:tblGrid>
      <w:gridCol w:w="1245"/>
      <w:gridCol w:w="2550"/>
      <w:gridCol w:w="1275"/>
      <w:gridCol w:w="1350"/>
      <w:gridCol w:w="1230"/>
      <w:gridCol w:w="1980"/>
    </w:tblGrid>
    <w:tr w:rsidR="00AB2B8B">
      <w:trPr>
        <w:trHeight w:val="1140"/>
        <w:jc w:val="center"/>
      </w:trPr>
      <w:tc>
        <w:tcPr>
          <w:tcW w:w="1245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AB2B8B" w:rsidRDefault="00796258">
          <w:pPr>
            <w:spacing w:after="40" w:line="264" w:lineRule="auto"/>
            <w:jc w:val="left"/>
            <w:rPr>
              <w:rFonts w:ascii="Lora" w:eastAsia="Lora" w:hAnsi="Lora" w:cs="Lora"/>
              <w:b/>
              <w:sz w:val="18"/>
              <w:szCs w:val="18"/>
            </w:rPr>
          </w:pPr>
          <w:r>
            <w:rPr>
              <w:rFonts w:ascii="Lora" w:eastAsia="Lora" w:hAnsi="Lora" w:cs="Lora"/>
              <w:b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762000" cy="617175"/>
                <wp:effectExtent l="0" t="0" r="0" b="0"/>
                <wp:docPr id="1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t="9031" b="974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171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AB2B8B" w:rsidRDefault="0079625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Departamento de Ingeniería Química y en Alimentos</w:t>
          </w:r>
        </w:p>
      </w:tc>
      <w:tc>
        <w:tcPr>
          <w:tcW w:w="1275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AB2B8B" w:rsidRDefault="00796258">
          <w:pPr>
            <w:spacing w:after="40" w:line="264" w:lineRule="auto"/>
            <w:jc w:val="right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819150" cy="642938"/>
                <wp:effectExtent l="0" t="0" r="0" b="0"/>
                <wp:docPr id="2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 t="12790" b="872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6429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5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AB2B8B" w:rsidRDefault="0079625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Facultad de Ingeniería</w:t>
          </w:r>
        </w:p>
      </w:tc>
      <w:tc>
        <w:tcPr>
          <w:tcW w:w="123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AB2B8B" w:rsidRDefault="00796258">
          <w:pPr>
            <w:spacing w:after="40" w:line="264" w:lineRule="auto"/>
            <w:jc w:val="right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544875" cy="544875"/>
                <wp:effectExtent l="0" t="0" r="0" b="0"/>
                <wp:docPr id="3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75" cy="5448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AB2B8B" w:rsidRDefault="0079625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Universidad Nacional de Mar del Plata</w:t>
          </w:r>
        </w:p>
      </w:tc>
    </w:tr>
  </w:tbl>
  <w:p w:rsidR="00AB2B8B" w:rsidRDefault="00796258">
    <w:pPr>
      <w:spacing w:line="240" w:lineRule="auto"/>
    </w:pPr>
    <w:r>
      <w:pict>
        <v:rect id="_x0000_i1026" style="width:0;height:1.5pt" o:hralign="center" o:hrstd="t" o:hr="t" fillcolor="#a0a0a0" stroked="f"/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B8B" w:rsidRDefault="00AB2B8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A31C1"/>
    <w:multiLevelType w:val="multilevel"/>
    <w:tmpl w:val="D91CA11C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B2B8B"/>
    <w:rsid w:val="001E06AA"/>
    <w:rsid w:val="00796258"/>
    <w:rsid w:val="00AB2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1B5EEE1-DE39-40E7-88AF-4C65ACF6F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jc w:val="center"/>
      <w:outlineLvl w:val="0"/>
    </w:pPr>
    <w:rPr>
      <w:rFonts w:ascii="Roboto" w:eastAsia="Roboto" w:hAnsi="Roboto" w:cs="Roboto"/>
      <w:b/>
      <w:color w:val="16A085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200" w:after="40" w:line="271" w:lineRule="auto"/>
      <w:outlineLvl w:val="1"/>
    </w:pPr>
    <w:rPr>
      <w:rFonts w:ascii="Roboto" w:eastAsia="Roboto" w:hAnsi="Roboto" w:cs="Roboto"/>
      <w:b/>
      <w:color w:val="16A085"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320" w:after="80" w:line="273" w:lineRule="auto"/>
      <w:outlineLvl w:val="2"/>
    </w:pPr>
    <w:rPr>
      <w:rFonts w:ascii="Roboto" w:eastAsia="Roboto" w:hAnsi="Roboto" w:cs="Roboto"/>
      <w:b/>
      <w:i/>
      <w:color w:val="434343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542</Words>
  <Characters>3090</Characters>
  <Application>Microsoft Office Word</Application>
  <DocSecurity>0</DocSecurity>
  <Lines>25</Lines>
  <Paragraphs>7</Paragraphs>
  <ScaleCrop>false</ScaleCrop>
  <Company/>
  <LinksUpToDate>false</LinksUpToDate>
  <CharactersWithSpaces>3625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</cp:lastModifiedBy>
  <cp:revision>2</cp:revision>
  <dcterms:created xsi:type="dcterms:W3CDTF">2019-03-09T18:09:00Z</dcterms:created>
  <dcterms:modified xsi:type="dcterms:W3CDTF">2019-03-09T18:10:00Z</dcterms:modified>
</cp:coreProperties>
</file>