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oboto" w:cs="Roboto" w:eastAsia="Roboto" w:hAnsi="Roboto"/>
          <w:sz w:val="16"/>
          <w:szCs w:val="16"/>
        </w:rPr>
      </w:pPr>
      <w:r w:rsidDel="00000000" w:rsidR="00000000" w:rsidRPr="00000000">
        <w:rPr>
          <w:rtl w:val="0"/>
        </w:rPr>
      </w:r>
    </w:p>
    <w:tbl>
      <w:tblPr>
        <w:tblStyle w:val="Table1"/>
        <w:tblW w:w="9630.0" w:type="dxa"/>
        <w:jc w:val="center"/>
        <w:tblLayout w:type="fixed"/>
        <w:tblLook w:val="0600"/>
      </w:tblPr>
      <w:tblGrid>
        <w:gridCol w:w="1710"/>
        <w:gridCol w:w="5865"/>
        <w:gridCol w:w="855"/>
        <w:gridCol w:w="1200"/>
        <w:tblGridChange w:id="0">
          <w:tblGrid>
            <w:gridCol w:w="1710"/>
            <w:gridCol w:w="5865"/>
            <w:gridCol w:w="855"/>
            <w:gridCol w:w="1200"/>
          </w:tblGrid>
        </w:tblGridChange>
      </w:tblGrid>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2">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CARRERA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Ingeniería Química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4">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PLAN</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2003</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6">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ASIGNATURA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Física 3</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8">
            <w:pPr>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COD.</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9">
            <w:pPr>
              <w:widowControl w:val="0"/>
              <w:spacing w:line="240" w:lineRule="auto"/>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724</w:t>
            </w:r>
          </w:p>
        </w:tc>
      </w:tr>
      <w:tr>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rFonts w:ascii="Roboto" w:cs="Roboto" w:eastAsia="Roboto" w:hAnsi="Roboto"/>
                <w:b w:val="1"/>
                <w:color w:val="16a085"/>
                <w:sz w:val="24"/>
                <w:szCs w:val="24"/>
              </w:rPr>
            </w:pPr>
            <w:r w:rsidDel="00000000" w:rsidR="00000000" w:rsidRPr="00000000">
              <w:rPr>
                <w:rFonts w:ascii="Roboto" w:cs="Roboto" w:eastAsia="Roboto" w:hAnsi="Roboto"/>
                <w:b w:val="1"/>
                <w:color w:val="16a085"/>
                <w:sz w:val="24"/>
                <w:szCs w:val="24"/>
                <w:rtl w:val="0"/>
              </w:rPr>
              <w:t xml:space="preserve">TIPO</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b w:val="1"/>
                <w:sz w:val="24"/>
                <w:szCs w:val="24"/>
              </w:rPr>
            </w:pPr>
            <w:r w:rsidDel="00000000" w:rsidR="00000000" w:rsidRPr="00000000">
              <w:rPr>
                <w:rFonts w:ascii="Roboto" w:cs="Roboto" w:eastAsia="Roboto" w:hAnsi="Roboto"/>
                <w:b w:val="1"/>
                <w:sz w:val="24"/>
                <w:szCs w:val="24"/>
                <w:rtl w:val="0"/>
              </w:rPr>
              <w:t xml:space="preserve">Obligatoria</w:t>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c>
          <w:tcPr>
            <w:shd w:fill="auto" w:val="clear"/>
            <w:tcMar>
              <w:top w:w="51.0236220472441" w:type="dxa"/>
              <w:left w:w="51.0236220472441" w:type="dxa"/>
              <w:bottom w:w="51.0236220472441" w:type="dxa"/>
              <w:right w:w="51.0236220472441" w:type="dxa"/>
            </w:tcMar>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Roboto" w:cs="Roboto" w:eastAsia="Roboto" w:hAnsi="Roboto"/>
                <w:sz w:val="24"/>
                <w:szCs w:val="24"/>
              </w:rPr>
            </w:pPr>
            <w:r w:rsidDel="00000000" w:rsidR="00000000" w:rsidRPr="00000000">
              <w:rPr>
                <w:rtl w:val="0"/>
              </w:rPr>
            </w:r>
          </w:p>
        </w:tc>
      </w:tr>
    </w:tbl>
    <w:p w:rsidR="00000000" w:rsidDel="00000000" w:rsidP="00000000" w:rsidRDefault="00000000" w:rsidRPr="00000000" w14:paraId="0000000E">
      <w:pPr>
        <w:rPr>
          <w:rFonts w:ascii="Roboto" w:cs="Roboto" w:eastAsia="Roboto" w:hAnsi="Robo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F">
      <w:pPr>
        <w:pStyle w:val="Heading1"/>
        <w:rPr>
          <w:sz w:val="32"/>
          <w:szCs w:val="32"/>
        </w:rPr>
      </w:pPr>
      <w:bookmarkStart w:colFirst="0" w:colLast="0" w:name="_nddimbltco0o" w:id="0"/>
      <w:bookmarkEnd w:id="0"/>
      <w:r w:rsidDel="00000000" w:rsidR="00000000" w:rsidRPr="00000000">
        <w:rPr>
          <w:rtl w:val="0"/>
        </w:rPr>
        <w:t xml:space="preserve">PROGRAMA ANALÍTICO</w:t>
      </w:r>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0">
      <w:pPr>
        <w:jc w:val="center"/>
        <w:rPr/>
      </w:pPr>
      <w:r w:rsidDel="00000000" w:rsidR="00000000" w:rsidRPr="00000000">
        <w:rPr>
          <w:rFonts w:ascii="Roboto" w:cs="Roboto" w:eastAsia="Roboto" w:hAnsi="Roboto"/>
          <w:sz w:val="20"/>
          <w:szCs w:val="20"/>
          <w:rtl w:val="0"/>
        </w:rPr>
        <w:t xml:space="preserve">(A partir del Ciclo Lectivo 2017)</w:t>
      </w:r>
      <w:r w:rsidDel="00000000" w:rsidR="00000000" w:rsidRPr="00000000">
        <w:rPr>
          <w:rtl w:val="0"/>
        </w:rPr>
      </w:r>
    </w:p>
    <w:p w:rsidR="00000000" w:rsidDel="00000000" w:rsidP="00000000" w:rsidRDefault="00000000" w:rsidRPr="00000000" w14:paraId="00000011">
      <w:pPr>
        <w:pStyle w:val="Heading2"/>
        <w:spacing w:after="80" w:line="273.6" w:lineRule="auto"/>
        <w:rPr/>
      </w:pPr>
      <w:bookmarkStart w:colFirst="0" w:colLast="0" w:name="_8brm4zur9mks" w:id="1"/>
      <w:bookmarkEnd w:id="1"/>
      <w:r w:rsidDel="00000000" w:rsidR="00000000" w:rsidRPr="00000000">
        <w:rPr>
          <w:rtl w:val="0"/>
        </w:rPr>
        <w:t xml:space="preserve">UNIDAD I: Ondas en los Materiales.</w:t>
      </w:r>
    </w:p>
    <w:p w:rsidR="00000000" w:rsidDel="00000000" w:rsidP="00000000" w:rsidRDefault="00000000" w:rsidRPr="00000000" w14:paraId="00000012">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Concepto de fenómeno ondulatorio. Ondas armónicas. Ondas planas. Ondas en cuerdas. Ondas sonoras en fluidos y sólidos. Flujo de energía. Relaciones de conservación de energía. Intensidad de una onda. El decibel. Efecto Doppler. </w:t>
      </w:r>
    </w:p>
    <w:p w:rsidR="00000000" w:rsidDel="00000000" w:rsidP="00000000" w:rsidRDefault="00000000" w:rsidRPr="00000000" w14:paraId="00000013">
      <w:pPr>
        <w:pStyle w:val="Heading2"/>
        <w:spacing w:after="80" w:line="273.6" w:lineRule="auto"/>
        <w:rPr/>
      </w:pPr>
      <w:bookmarkStart w:colFirst="0" w:colLast="0" w:name="_t4ogjg3a0to2" w:id="2"/>
      <w:bookmarkEnd w:id="2"/>
      <w:r w:rsidDel="00000000" w:rsidR="00000000" w:rsidRPr="00000000">
        <w:rPr>
          <w:rtl w:val="0"/>
        </w:rPr>
        <w:t xml:space="preserve">UNIDAD II: Ondas Electromagnéticas.</w:t>
      </w:r>
    </w:p>
    <w:p w:rsidR="00000000" w:rsidDel="00000000" w:rsidP="00000000" w:rsidRDefault="00000000" w:rsidRPr="00000000" w14:paraId="00000014">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Dinámica electromagnética en el vacío. Ondas electromagnéticas. Carácter transversal. Índice de refracción. Propagación en dieléctricos. La onda electromagnética plana. Flujo de energía, el vector de Poynting. Fotones. Empuje de las ondas electromagnéticas. La ionósfera terrestre. Propagación en un medio ionizado. Frecuencia máxima utilizable. Zona de silencio. Líneas de transmisión eléctrica. Ondas electromagnéticas y circuitos. </w:t>
      </w:r>
    </w:p>
    <w:p w:rsidR="00000000" w:rsidDel="00000000" w:rsidP="00000000" w:rsidRDefault="00000000" w:rsidRPr="00000000" w14:paraId="00000015">
      <w:pPr>
        <w:pStyle w:val="Heading2"/>
        <w:spacing w:after="80" w:line="273.6" w:lineRule="auto"/>
        <w:rPr/>
      </w:pPr>
      <w:bookmarkStart w:colFirst="0" w:colLast="0" w:name="_khrquvptds7t" w:id="3"/>
      <w:bookmarkEnd w:id="3"/>
      <w:r w:rsidDel="00000000" w:rsidR="00000000" w:rsidRPr="00000000">
        <w:rPr>
          <w:rtl w:val="0"/>
        </w:rPr>
        <w:t xml:space="preserve">UNIDAD III: Transmisión de Calor.</w:t>
      </w:r>
    </w:p>
    <w:p w:rsidR="00000000" w:rsidDel="00000000" w:rsidP="00000000" w:rsidRDefault="00000000" w:rsidRPr="00000000" w14:paraId="00000016">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Calor. Formas de transmisión del calor: conducción, convección y radiación. Calentamiento, enfriamiento y régimen estacionario. Aplicación de la conservación de la energía a casos prácticos. </w:t>
      </w:r>
    </w:p>
    <w:p w:rsidR="00000000" w:rsidDel="00000000" w:rsidP="00000000" w:rsidRDefault="00000000" w:rsidRPr="00000000" w14:paraId="00000017">
      <w:pPr>
        <w:pStyle w:val="Heading2"/>
        <w:spacing w:after="80" w:line="273.6" w:lineRule="auto"/>
        <w:rPr/>
      </w:pPr>
      <w:bookmarkStart w:colFirst="0" w:colLast="0" w:name="_qvwei1fjk4q5" w:id="4"/>
      <w:bookmarkEnd w:id="4"/>
      <w:r w:rsidDel="00000000" w:rsidR="00000000" w:rsidRPr="00000000">
        <w:rPr>
          <w:rtl w:val="0"/>
        </w:rPr>
        <w:t xml:space="preserve">UNIDAD IV: Superposición de Ondas.</w:t>
      </w:r>
    </w:p>
    <w:p w:rsidR="00000000" w:rsidDel="00000000" w:rsidP="00000000" w:rsidRDefault="00000000" w:rsidRPr="00000000" w14:paraId="00000018">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Linealidad de la ecuación de ondas: superposición. Coherencia. Interferencia de dos y más fuentes. Método fasorial. </w:t>
      </w:r>
    </w:p>
    <w:p w:rsidR="00000000" w:rsidDel="00000000" w:rsidP="00000000" w:rsidRDefault="00000000" w:rsidRPr="00000000" w14:paraId="00000019">
      <w:pPr>
        <w:pStyle w:val="Heading2"/>
        <w:spacing w:after="80" w:line="273.6" w:lineRule="auto"/>
        <w:rPr/>
      </w:pPr>
      <w:bookmarkStart w:colFirst="0" w:colLast="0" w:name="_dx18alcghzbm" w:id="5"/>
      <w:bookmarkEnd w:id="5"/>
      <w:r w:rsidDel="00000000" w:rsidR="00000000" w:rsidRPr="00000000">
        <w:rPr>
          <w:rtl w:val="0"/>
        </w:rPr>
        <w:t xml:space="preserve">UNIDAD V: Efectos de Frontera.</w:t>
      </w:r>
    </w:p>
    <w:p w:rsidR="00000000" w:rsidDel="00000000" w:rsidP="00000000" w:rsidRDefault="00000000" w:rsidRPr="00000000" w14:paraId="0000001A">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Impedancia de ondas. Reflexión y ondas estacionarias. Refracción. Principio de Huygens. Ley de Snell. Ángulo crítico. Interferencia de película delgada. Difracción lejana (de Fraunhofer) de rendija y de abertura circular. La red de difracción de rendijas. </w:t>
      </w:r>
    </w:p>
    <w:p w:rsidR="00000000" w:rsidDel="00000000" w:rsidP="00000000" w:rsidRDefault="00000000" w:rsidRPr="00000000" w14:paraId="0000001B">
      <w:pPr>
        <w:pStyle w:val="Heading2"/>
        <w:spacing w:after="80" w:line="273.6" w:lineRule="auto"/>
        <w:rPr/>
      </w:pPr>
      <w:bookmarkStart w:colFirst="0" w:colLast="0" w:name="_rke0d3oywgc3" w:id="6"/>
      <w:bookmarkEnd w:id="6"/>
      <w:r w:rsidDel="00000000" w:rsidR="00000000" w:rsidRPr="00000000">
        <w:rPr>
          <w:rtl w:val="0"/>
        </w:rPr>
        <w:t xml:space="preserve">UNIDAD VI: Anisotropía y Polarización.</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Tipos de polarización de la luz. Láminas polarizadoras. Ley de Malus. Reflectancia. Polarización por reflexión. Materiales anisótropos. Láminas retardadoras. Efecto Kerr. </w:t>
      </w:r>
    </w:p>
    <w:p w:rsidR="00000000" w:rsidDel="00000000" w:rsidP="00000000" w:rsidRDefault="00000000" w:rsidRPr="00000000" w14:paraId="0000001D">
      <w:pPr>
        <w:pStyle w:val="Heading2"/>
        <w:spacing w:after="80" w:line="273.6" w:lineRule="auto"/>
        <w:rPr/>
      </w:pPr>
      <w:bookmarkStart w:colFirst="0" w:colLast="0" w:name="_7r4l3fygkqha" w:id="7"/>
      <w:bookmarkEnd w:id="7"/>
      <w:r w:rsidDel="00000000" w:rsidR="00000000" w:rsidRPr="00000000">
        <w:rPr>
          <w:rtl w:val="0"/>
        </w:rPr>
        <w:t xml:space="preserve">UNIDAD VII: Ondas de Materia y Paquetes de Onda.</w:t>
      </w:r>
    </w:p>
    <w:p w:rsidR="00000000" w:rsidDel="00000000" w:rsidP="00000000" w:rsidRDefault="00000000" w:rsidRPr="00000000" w14:paraId="0000001E">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Orígenes de la Mecánica Cuántica. El efecto Fotoeléctrico. Efecto Compton. Átomo de Bohr. Batidos o pulsaciones. Paquetes de onda y partículas clásicas. Velocidad de fase y de grupo. Ondas superficiales de gravedad en líquidos. Ondas de fotones y electrones. </w:t>
      </w:r>
    </w:p>
    <w:p w:rsidR="00000000" w:rsidDel="00000000" w:rsidP="00000000" w:rsidRDefault="00000000" w:rsidRPr="00000000" w14:paraId="0000001F">
      <w:pPr>
        <w:pStyle w:val="Heading2"/>
        <w:spacing w:after="80" w:line="273.6" w:lineRule="auto"/>
        <w:rPr/>
      </w:pPr>
      <w:bookmarkStart w:colFirst="0" w:colLast="0" w:name="_7l9okcd9b3h3" w:id="8"/>
      <w:bookmarkEnd w:id="8"/>
      <w:r w:rsidDel="00000000" w:rsidR="00000000" w:rsidRPr="00000000">
        <w:rPr>
          <w:rtl w:val="0"/>
        </w:rPr>
        <w:t xml:space="preserve">UNIDAD VIII: Potenciales Unidimensionales.</w:t>
      </w:r>
    </w:p>
    <w:p w:rsidR="00000000" w:rsidDel="00000000" w:rsidP="00000000" w:rsidRDefault="00000000" w:rsidRPr="00000000" w14:paraId="00000020">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Corriente de probabilidad. Ecuación de Schrödinger. Interpretación probabilística. Potencial constante por tramos. Condiciones de borde. Solución completa de los casos potencial escalón, barrera, delta de Dirac, pozo infinito, y pozo finito de potencial. Planteo general para potenciales unidimensionales arbitrarios.</w:t>
      </w:r>
    </w:p>
    <w:p w:rsidR="00000000" w:rsidDel="00000000" w:rsidP="00000000" w:rsidRDefault="00000000" w:rsidRPr="00000000" w14:paraId="00000021">
      <w:pPr>
        <w:pStyle w:val="Heading2"/>
        <w:spacing w:after="80" w:line="273.6" w:lineRule="auto"/>
        <w:rPr/>
      </w:pPr>
      <w:bookmarkStart w:colFirst="0" w:colLast="0" w:name="_9lwti9gyd677" w:id="9"/>
      <w:bookmarkEnd w:id="9"/>
      <w:r w:rsidDel="00000000" w:rsidR="00000000" w:rsidRPr="00000000">
        <w:rPr>
          <w:rtl w:val="0"/>
        </w:rPr>
        <w:t xml:space="preserve">UNIDAD IX: Óptica Geométrica.</w:t>
      </w:r>
    </w:p>
    <w:p w:rsidR="00000000" w:rsidDel="00000000" w:rsidP="00000000" w:rsidRDefault="00000000" w:rsidRPr="00000000" w14:paraId="00000022">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 xml:space="preserve">La propagación rectilínea. Reflexión y refracción en general. Reflexión en superficies esféricas. Refracción en superficies esféricas. La lente delgada. Nociones sobre instrumentos ópticos: lupa, telescopio.</w:t>
      </w:r>
    </w:p>
    <w:p w:rsidR="00000000" w:rsidDel="00000000" w:rsidP="00000000" w:rsidRDefault="00000000" w:rsidRPr="00000000" w14:paraId="00000023">
      <w:pPr>
        <w:keepNext w:val="0"/>
        <w:keepLines w:val="0"/>
        <w:widowControl w:val="1"/>
        <w:pBdr>
          <w:top w:space="0" w:sz="0" w:val="nil"/>
          <w:left w:space="0" w:sz="0" w:val="nil"/>
          <w:bottom w:space="0" w:sz="0" w:val="nil"/>
          <w:right w:space="0" w:sz="0" w:val="nil"/>
          <w:between w:space="0" w:sz="0" w:val="nil"/>
        </w:pBdr>
        <w:shd w:fill="auto" w:val="clear"/>
        <w:spacing w:after="80" w:before="0" w:line="273.6" w:lineRule="auto"/>
        <w:ind w:left="0" w:right="0" w:firstLine="0"/>
        <w:jc w:val="both"/>
        <w:rPr>
          <w:rFonts w:ascii="Roboto" w:cs="Roboto" w:eastAsia="Roboto" w:hAnsi="Roboto"/>
        </w:rPr>
      </w:pPr>
      <w:r w:rsidDel="00000000" w:rsidR="00000000" w:rsidRPr="00000000">
        <w:rPr>
          <w:rFonts w:ascii="Roboto" w:cs="Roboto" w:eastAsia="Roboto" w:hAnsi="Roboto"/>
          <w:rtl w:val="0"/>
        </w:rPr>
        <w:tab/>
      </w:r>
    </w:p>
    <w:p w:rsidR="00000000" w:rsidDel="00000000" w:rsidP="00000000" w:rsidRDefault="00000000" w:rsidRPr="00000000" w14:paraId="00000024">
      <w:pPr>
        <w:pStyle w:val="Heading2"/>
        <w:rPr/>
      </w:pPr>
      <w:bookmarkStart w:colFirst="0" w:colLast="0" w:name="_br28lulne3sx" w:id="10"/>
      <w:bookmarkEnd w:id="10"/>
      <w:r w:rsidDel="00000000" w:rsidR="00000000" w:rsidRPr="00000000">
        <w:rPr>
          <w:rtl w:val="0"/>
        </w:rPr>
        <w:t xml:space="preserve">BIBLIOGRAFÍA</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Ondulatoria elemental - Larrondo, Avalos. (de la cátedra).</w:t>
      </w:r>
    </w:p>
    <w:p w:rsidR="00000000" w:rsidDel="00000000" w:rsidP="00000000" w:rsidRDefault="00000000" w:rsidRPr="00000000" w14:paraId="00000027">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tomos I, II y III - Tipler.</w:t>
      </w:r>
    </w:p>
    <w:p w:rsidR="00000000" w:rsidDel="00000000" w:rsidP="00000000" w:rsidRDefault="00000000" w:rsidRPr="00000000" w14:paraId="00000028">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Física tomo II y tomo III - Alonso Finn.</w:t>
      </w:r>
    </w:p>
    <w:p w:rsidR="00000000" w:rsidDel="00000000" w:rsidP="00000000" w:rsidRDefault="00000000" w:rsidRPr="00000000" w14:paraId="00000029">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Óptica - Hecht-Zajac. Física Volumen I y II . Resnick y Halliday.</w:t>
      </w:r>
    </w:p>
    <w:p w:rsidR="00000000" w:rsidDel="00000000" w:rsidP="00000000" w:rsidRDefault="00000000" w:rsidRPr="00000000" w14:paraId="0000002A">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Eisberg y Lerner.</w:t>
      </w:r>
    </w:p>
    <w:p w:rsidR="00000000" w:rsidDel="00000000" w:rsidP="00000000" w:rsidRDefault="00000000" w:rsidRPr="00000000" w14:paraId="0000002B">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Propagación y antenas - R. Tozzini.</w:t>
      </w:r>
    </w:p>
    <w:p w:rsidR="00000000" w:rsidDel="00000000" w:rsidP="00000000" w:rsidRDefault="00000000" w:rsidRPr="00000000" w14:paraId="0000002C">
      <w:pPr>
        <w:numPr>
          <w:ilvl w:val="0"/>
          <w:numId w:val="1"/>
        </w:numPr>
        <w:spacing w:after="80" w:line="273.6" w:lineRule="auto"/>
        <w:ind w:left="720" w:hanging="360"/>
        <w:rPr>
          <w:rFonts w:ascii="Roboto" w:cs="Roboto" w:eastAsia="Roboto" w:hAnsi="Roboto"/>
        </w:rPr>
      </w:pPr>
      <w:r w:rsidDel="00000000" w:rsidR="00000000" w:rsidRPr="00000000">
        <w:rPr>
          <w:rFonts w:ascii="Roboto" w:cs="Roboto" w:eastAsia="Roboto" w:hAnsi="Roboto"/>
          <w:rtl w:val="0"/>
        </w:rPr>
        <w:t xml:space="preserve">Ionospheric radio propagation - K. Davies</w:t>
      </w:r>
    </w:p>
    <w:p w:rsidR="00000000" w:rsidDel="00000000" w:rsidP="00000000" w:rsidRDefault="00000000" w:rsidRPr="00000000" w14:paraId="0000002D">
      <w:pPr>
        <w:spacing w:after="80" w:line="273.6" w:lineRule="auto"/>
        <w:ind w:left="0" w:firstLine="0"/>
        <w:rPr>
          <w:rFonts w:ascii="Roboto" w:cs="Roboto" w:eastAsia="Roboto" w:hAnsi="Roboto"/>
        </w:rPr>
      </w:pPr>
      <w:r w:rsidDel="00000000" w:rsidR="00000000" w:rsidRPr="00000000">
        <w:rPr>
          <w:rtl w:val="0"/>
        </w:rPr>
      </w:r>
    </w:p>
    <w:sectPr>
      <w:headerReference r:id="rId6" w:type="default"/>
      <w:headerReference r:id="rId7" w:type="first"/>
      <w:footerReference r:id="rId8" w:type="default"/>
      <w:footerReference r:id="rId9" w:type="first"/>
      <w:pgSz w:h="16838" w:w="11906"/>
      <w:pgMar w:bottom="1133.8582677165355" w:top="1133.8582677165355" w:left="1133.8582677165355" w:right="1133.8582677165355"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Lora">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6">
    <w:pPr>
      <w:jc w:val="right"/>
      <w:rPr>
        <w:color w:val="16a085"/>
      </w:rPr>
    </w:pPr>
    <w:r w:rsidDel="00000000" w:rsidR="00000000" w:rsidRPr="00000000">
      <w:rPr>
        <w:color w:val="16a085"/>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7">
    <w:pPr>
      <w:jc w:val="right"/>
      <w:rPr>
        <w:rFonts w:ascii="Roboto" w:cs="Roboto" w:eastAsia="Roboto" w:hAnsi="Roboto"/>
        <w:color w:val="16a085"/>
      </w:rPr>
    </w:pPr>
    <w:r w:rsidDel="00000000" w:rsidR="00000000" w:rsidRPr="00000000">
      <w:rPr>
        <w:rFonts w:ascii="Roboto" w:cs="Roboto" w:eastAsia="Roboto" w:hAnsi="Roboto"/>
        <w:color w:val="16a085"/>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E">
    <w:pPr>
      <w:spacing w:line="240" w:lineRule="auto"/>
      <w:rPr>
        <w:rFonts w:ascii="Roboto" w:cs="Roboto" w:eastAsia="Roboto" w:hAnsi="Roboto"/>
        <w:sz w:val="4"/>
        <w:szCs w:val="4"/>
      </w:rPr>
    </w:pPr>
    <w:r w:rsidDel="00000000" w:rsidR="00000000" w:rsidRPr="00000000">
      <w:rPr>
        <w:rtl w:val="0"/>
      </w:rPr>
    </w:r>
  </w:p>
  <w:tbl>
    <w:tblPr>
      <w:tblStyle w:val="Table2"/>
      <w:tblW w:w="9630.0" w:type="dxa"/>
      <w:jc w:val="center"/>
      <w:tblLayout w:type="fixed"/>
      <w:tblLook w:val="0600"/>
    </w:tblPr>
    <w:tblGrid>
      <w:gridCol w:w="1245"/>
      <w:gridCol w:w="2550"/>
      <w:gridCol w:w="1275"/>
      <w:gridCol w:w="1350"/>
      <w:gridCol w:w="1230"/>
      <w:gridCol w:w="1980"/>
      <w:tblGridChange w:id="0">
        <w:tblGrid>
          <w:gridCol w:w="1245"/>
          <w:gridCol w:w="2550"/>
          <w:gridCol w:w="1275"/>
          <w:gridCol w:w="1350"/>
          <w:gridCol w:w="1230"/>
          <w:gridCol w:w="1980"/>
        </w:tblGrid>
      </w:tblGridChange>
    </w:tblGrid>
    <w:tr>
      <w:trPr>
        <w:trHeight w:val="1140" w:hRule="atLeast"/>
      </w:trPr>
      <w:tc>
        <w:tcPr>
          <w:shd w:fill="auto" w:val="clear"/>
          <w:tcMar>
            <w:top w:w="0.0" w:type="dxa"/>
            <w:left w:w="0.0" w:type="dxa"/>
            <w:bottom w:w="0.0" w:type="dxa"/>
            <w:right w:w="0.0" w:type="dxa"/>
          </w:tcMar>
          <w:vAlign w:val="center"/>
        </w:tcPr>
        <w:p w:rsidR="00000000" w:rsidDel="00000000" w:rsidP="00000000" w:rsidRDefault="00000000" w:rsidRPr="00000000" w14:paraId="0000002F">
          <w:pPr>
            <w:spacing w:after="40" w:line="264" w:lineRule="auto"/>
            <w:jc w:val="left"/>
            <w:rPr>
              <w:rFonts w:ascii="Lora" w:cs="Lora" w:eastAsia="Lora" w:hAnsi="Lora"/>
              <w:b w:val="1"/>
              <w:sz w:val="18"/>
              <w:szCs w:val="18"/>
            </w:rPr>
          </w:pPr>
          <w:r w:rsidDel="00000000" w:rsidR="00000000" w:rsidRPr="00000000">
            <w:rPr>
              <w:rFonts w:ascii="Lora" w:cs="Lora" w:eastAsia="Lora" w:hAnsi="Lora"/>
              <w:b w:val="1"/>
              <w:sz w:val="18"/>
              <w:szCs w:val="18"/>
            </w:rPr>
            <w:drawing>
              <wp:inline distB="114300" distT="114300" distL="114300" distR="114300">
                <wp:extent cx="762000" cy="617175"/>
                <wp:effectExtent b="0" l="0" r="0" t="0"/>
                <wp:docPr id="1" name="image3.png"/>
                <a:graphic>
                  <a:graphicData uri="http://schemas.openxmlformats.org/drawingml/2006/picture">
                    <pic:pic>
                      <pic:nvPicPr>
                        <pic:cNvPr id="0" name="image3.png"/>
                        <pic:cNvPicPr preferRelativeResize="0"/>
                      </pic:nvPicPr>
                      <pic:blipFill>
                        <a:blip r:embed="rId1"/>
                        <a:srcRect b="9744" l="0" r="0" t="9031"/>
                        <a:stretch>
                          <a:fillRect/>
                        </a:stretch>
                      </pic:blipFill>
                      <pic:spPr>
                        <a:xfrm>
                          <a:off x="0" y="0"/>
                          <a:ext cx="762000" cy="6171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0">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Departamento de Ingeniería Química y en Alimentos</w:t>
          </w:r>
        </w:p>
      </w:tc>
      <w:tc>
        <w:tcPr>
          <w:shd w:fill="auto" w:val="clear"/>
          <w:tcMar>
            <w:top w:w="0.0" w:type="dxa"/>
            <w:left w:w="0.0" w:type="dxa"/>
            <w:bottom w:w="0.0" w:type="dxa"/>
            <w:right w:w="0.0" w:type="dxa"/>
          </w:tcMar>
          <w:vAlign w:val="center"/>
        </w:tcPr>
        <w:p w:rsidR="00000000" w:rsidDel="00000000" w:rsidP="00000000" w:rsidRDefault="00000000" w:rsidRPr="00000000" w14:paraId="00000031">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819150" cy="642938"/>
                <wp:effectExtent b="0" l="0" r="0" t="0"/>
                <wp:docPr id="2" name="image4.png"/>
                <a:graphic>
                  <a:graphicData uri="http://schemas.openxmlformats.org/drawingml/2006/picture">
                    <pic:pic>
                      <pic:nvPicPr>
                        <pic:cNvPr id="0" name="image4.png"/>
                        <pic:cNvPicPr preferRelativeResize="0"/>
                      </pic:nvPicPr>
                      <pic:blipFill>
                        <a:blip r:embed="rId2"/>
                        <a:srcRect b="8720" l="0" r="0" t="12790"/>
                        <a:stretch>
                          <a:fillRect/>
                        </a:stretch>
                      </pic:blipFill>
                      <pic:spPr>
                        <a:xfrm>
                          <a:off x="0" y="0"/>
                          <a:ext cx="819150" cy="642938"/>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Facultad de Ingeniería</w:t>
          </w:r>
        </w:p>
      </w:tc>
      <w:tc>
        <w:tcPr>
          <w:shd w:fill="auto" w:val="clear"/>
          <w:tcMar>
            <w:top w:w="0.0" w:type="dxa"/>
            <w:left w:w="0.0" w:type="dxa"/>
            <w:bottom w:w="0.0" w:type="dxa"/>
            <w:right w:w="0.0" w:type="dxa"/>
          </w:tcMar>
          <w:vAlign w:val="center"/>
        </w:tcPr>
        <w:p w:rsidR="00000000" w:rsidDel="00000000" w:rsidP="00000000" w:rsidRDefault="00000000" w:rsidRPr="00000000" w14:paraId="00000033">
          <w:pPr>
            <w:spacing w:after="40" w:line="264" w:lineRule="auto"/>
            <w:jc w:val="right"/>
            <w:rPr>
              <w:rFonts w:ascii="Lora" w:cs="Lora" w:eastAsia="Lora" w:hAnsi="Lora"/>
              <w:sz w:val="18"/>
              <w:szCs w:val="18"/>
            </w:rPr>
          </w:pPr>
          <w:r w:rsidDel="00000000" w:rsidR="00000000" w:rsidRPr="00000000">
            <w:rPr>
              <w:rFonts w:ascii="Lora" w:cs="Lora" w:eastAsia="Lora" w:hAnsi="Lora"/>
              <w:sz w:val="18"/>
              <w:szCs w:val="18"/>
            </w:rPr>
            <w:drawing>
              <wp:inline distB="114300" distT="114300" distL="114300" distR="114300">
                <wp:extent cx="544875" cy="544875"/>
                <wp:effectExtent b="0" l="0" r="0" t="0"/>
                <wp:docPr id="3" name="image5.png"/>
                <a:graphic>
                  <a:graphicData uri="http://schemas.openxmlformats.org/drawingml/2006/picture">
                    <pic:pic>
                      <pic:nvPicPr>
                        <pic:cNvPr id="0" name="image5.png"/>
                        <pic:cNvPicPr preferRelativeResize="0"/>
                      </pic:nvPicPr>
                      <pic:blipFill>
                        <a:blip r:embed="rId3"/>
                        <a:srcRect b="0" l="0" r="0" t="0"/>
                        <a:stretch>
                          <a:fillRect/>
                        </a:stretch>
                      </pic:blipFill>
                      <pic:spPr>
                        <a:xfrm>
                          <a:off x="0" y="0"/>
                          <a:ext cx="544875" cy="544875"/>
                        </a:xfrm>
                        <a:prstGeom prst="rect"/>
                        <a:ln/>
                      </pic:spPr>
                    </pic:pic>
                  </a:graphicData>
                </a:graphic>
              </wp:inline>
            </w:drawing>
          </w:r>
          <w:r w:rsidDel="00000000" w:rsidR="00000000" w:rsidRPr="00000000">
            <w:rPr>
              <w:rtl w:val="0"/>
            </w:rPr>
          </w:r>
        </w:p>
      </w:tc>
      <w:tc>
        <w:tcPr>
          <w:shd w:fill="auto" w:val="clear"/>
          <w:tcMar>
            <w:top w:w="0.0" w:type="dxa"/>
            <w:left w:w="0.0" w:type="dxa"/>
            <w:bottom w:w="0.0" w:type="dxa"/>
            <w:right w:w="0.0" w:type="dxa"/>
          </w:tcMar>
          <w:vAlign w:val="center"/>
        </w:tcPr>
        <w:p w:rsidR="00000000" w:rsidDel="00000000" w:rsidP="00000000" w:rsidRDefault="00000000" w:rsidRPr="00000000" w14:paraId="00000034">
          <w:pPr>
            <w:keepNext w:val="0"/>
            <w:keepLines w:val="0"/>
            <w:widowControl w:val="0"/>
            <w:pBdr>
              <w:top w:space="0" w:sz="0" w:val="nil"/>
              <w:left w:space="0" w:sz="0" w:val="nil"/>
              <w:bottom w:space="0" w:sz="0" w:val="nil"/>
              <w:right w:space="0" w:sz="0" w:val="nil"/>
              <w:between w:space="0" w:sz="0" w:val="nil"/>
            </w:pBdr>
            <w:shd w:fill="auto" w:val="clear"/>
            <w:spacing w:after="40" w:before="0" w:line="264" w:lineRule="auto"/>
            <w:ind w:left="0" w:right="0" w:firstLine="0"/>
            <w:jc w:val="center"/>
            <w:rPr>
              <w:rFonts w:ascii="Lora" w:cs="Lora" w:eastAsia="Lora" w:hAnsi="Lora"/>
              <w:sz w:val="18"/>
              <w:szCs w:val="18"/>
            </w:rPr>
          </w:pPr>
          <w:r w:rsidDel="00000000" w:rsidR="00000000" w:rsidRPr="00000000">
            <w:rPr>
              <w:rFonts w:ascii="Lora" w:cs="Lora" w:eastAsia="Lora" w:hAnsi="Lora"/>
              <w:sz w:val="18"/>
              <w:szCs w:val="18"/>
              <w:rtl w:val="0"/>
            </w:rPr>
            <w:t xml:space="preserve">Universidad Nacional de Mar del Plata</w:t>
          </w:r>
        </w:p>
      </w:tc>
    </w:tr>
  </w:tbl>
  <w:p w:rsidR="00000000" w:rsidDel="00000000" w:rsidP="00000000" w:rsidRDefault="00000000" w:rsidRPr="00000000" w14:paraId="00000035">
    <w:pPr>
      <w:spacing w:line="240" w:lineRule="auto"/>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8">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s"/>
      </w:rPr>
    </w:rPrDefault>
    <w:pPrDefault>
      <w:pPr>
        <w:spacing w:line="276" w:lineRule="auto"/>
        <w:jc w:val="both"/>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jc w:val="center"/>
    </w:pPr>
    <w:rPr>
      <w:rFonts w:ascii="Roboto" w:cs="Roboto" w:eastAsia="Roboto" w:hAnsi="Roboto"/>
      <w:b w:val="1"/>
      <w:color w:val="16a085"/>
      <w:sz w:val="32"/>
      <w:szCs w:val="32"/>
    </w:rPr>
  </w:style>
  <w:style w:type="paragraph" w:styleId="Heading2">
    <w:name w:val="heading 2"/>
    <w:basedOn w:val="Normal"/>
    <w:next w:val="Normal"/>
    <w:pPr>
      <w:keepNext w:val="1"/>
      <w:keepLines w:val="1"/>
      <w:spacing w:after="40" w:before="200" w:line="271.2" w:lineRule="auto"/>
    </w:pPr>
    <w:rPr>
      <w:rFonts w:ascii="Roboto" w:cs="Roboto" w:eastAsia="Roboto" w:hAnsi="Roboto"/>
      <w:b w:val="1"/>
      <w:color w:val="16a085"/>
      <w:sz w:val="28"/>
      <w:szCs w:val="28"/>
    </w:rPr>
  </w:style>
  <w:style w:type="paragraph" w:styleId="Heading3">
    <w:name w:val="heading 3"/>
    <w:basedOn w:val="Normal"/>
    <w:next w:val="Normal"/>
    <w:pPr>
      <w:keepNext w:val="1"/>
      <w:keepLines w:val="1"/>
      <w:spacing w:after="80" w:before="320" w:line="273.6" w:lineRule="auto"/>
    </w:pPr>
    <w:rPr>
      <w:rFonts w:ascii="Roboto" w:cs="Roboto" w:eastAsia="Roboto" w:hAnsi="Roboto"/>
      <w:b w:val="1"/>
      <w:i w:val="1"/>
      <w:color w:val="434343"/>
      <w:sz w:val="24"/>
      <w:szCs w:val="24"/>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5" Type="http://schemas.openxmlformats.org/officeDocument/2006/relationships/font" Target="fonts/Lora-regular.ttf"/><Relationship Id="rId6" Type="http://schemas.openxmlformats.org/officeDocument/2006/relationships/font" Target="fonts/Lora-bold.ttf"/><Relationship Id="rId7" Type="http://schemas.openxmlformats.org/officeDocument/2006/relationships/font" Target="fonts/Lora-italic.ttf"/><Relationship Id="rId8" Type="http://schemas.openxmlformats.org/officeDocument/2006/relationships/font" Target="fonts/Lora-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png"/><Relationship Id="rId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