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Roboto" w:cs="Roboto" w:eastAsia="Roboto" w:hAnsi="Roboto"/>
          <w:sz w:val="16"/>
          <w:szCs w:val="16"/>
        </w:rPr>
      </w:pPr>
      <w:r w:rsidDel="00000000" w:rsidR="00000000" w:rsidRPr="00000000">
        <w:rPr>
          <w:rtl w:val="0"/>
        </w:rPr>
      </w:r>
    </w:p>
    <w:tbl>
      <w:tblPr>
        <w:tblStyle w:val="Table1"/>
        <w:tblW w:w="9630.0" w:type="dxa"/>
        <w:jc w:val="center"/>
        <w:tblLayout w:type="fixed"/>
        <w:tblLook w:val="0600"/>
      </w:tblPr>
      <w:tblGrid>
        <w:gridCol w:w="1710"/>
        <w:gridCol w:w="5865"/>
        <w:gridCol w:w="855"/>
        <w:gridCol w:w="1200"/>
        <w:tblGridChange w:id="0">
          <w:tblGrid>
            <w:gridCol w:w="1710"/>
            <w:gridCol w:w="5865"/>
            <w:gridCol w:w="855"/>
            <w:gridCol w:w="1200"/>
          </w:tblGrid>
        </w:tblGridChange>
      </w:tblGrid>
      <w:tr>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2">
            <w:pPr>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CARRERA</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Ingeniería Química</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4">
            <w:pPr>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PLAN</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2003</w:t>
            </w:r>
          </w:p>
        </w:tc>
      </w:tr>
      <w:tr>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6">
            <w:pPr>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ASIGNATURA</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Física 1 (tarde)</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8">
            <w:pPr>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COD.</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9">
            <w:pPr>
              <w:widowControl w:val="0"/>
              <w:spacing w:line="240" w:lineRule="auto"/>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722</w:t>
            </w:r>
          </w:p>
        </w:tc>
      </w:tr>
      <w:tr>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TIPO</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Obligatoria</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rPr>
                <w:rtl w:val="0"/>
              </w:rPr>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rPr>
                <w:rtl w:val="0"/>
              </w:rPr>
            </w:r>
          </w:p>
        </w:tc>
      </w:tr>
    </w:tbl>
    <w:p w:rsidR="00000000" w:rsidDel="00000000" w:rsidP="00000000" w:rsidRDefault="00000000" w:rsidRPr="00000000" w14:paraId="0000000E">
      <w:pPr>
        <w:rPr>
          <w:rFonts w:ascii="Roboto" w:cs="Roboto" w:eastAsia="Roboto" w:hAnsi="Robo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F">
      <w:pPr>
        <w:pStyle w:val="Heading1"/>
        <w:rPr>
          <w:sz w:val="32"/>
          <w:szCs w:val="32"/>
        </w:rPr>
      </w:pPr>
      <w:bookmarkStart w:colFirst="0" w:colLast="0" w:name="_nddimbltco0o" w:id="0"/>
      <w:bookmarkEnd w:id="0"/>
      <w:r w:rsidDel="00000000" w:rsidR="00000000" w:rsidRPr="00000000">
        <w:rPr>
          <w:rtl w:val="0"/>
        </w:rPr>
        <w:t xml:space="preserve">PROGRAMA ANALÍTICO</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10">
      <w:pPr>
        <w:jc w:val="center"/>
        <w:rPr/>
      </w:pPr>
      <w:r w:rsidDel="00000000" w:rsidR="00000000" w:rsidRPr="00000000">
        <w:rPr>
          <w:rFonts w:ascii="Roboto" w:cs="Roboto" w:eastAsia="Roboto" w:hAnsi="Roboto"/>
          <w:sz w:val="20"/>
          <w:szCs w:val="20"/>
          <w:rtl w:val="0"/>
        </w:rPr>
        <w:t xml:space="preserve">(A partir del Ciclo Lectivo 2017)</w:t>
      </w:r>
      <w:r w:rsidDel="00000000" w:rsidR="00000000" w:rsidRPr="00000000">
        <w:rPr>
          <w:rtl w:val="0"/>
        </w:rPr>
      </w:r>
    </w:p>
    <w:p w:rsidR="00000000" w:rsidDel="00000000" w:rsidP="00000000" w:rsidRDefault="00000000" w:rsidRPr="00000000" w14:paraId="00000011">
      <w:pPr>
        <w:pStyle w:val="Heading2"/>
        <w:spacing w:after="80" w:line="273.6" w:lineRule="auto"/>
        <w:rPr/>
      </w:pPr>
      <w:bookmarkStart w:colFirst="0" w:colLast="0" w:name="_1mmov7i4spbv" w:id="1"/>
      <w:bookmarkEnd w:id="1"/>
      <w:r w:rsidDel="00000000" w:rsidR="00000000" w:rsidRPr="00000000">
        <w:rPr>
          <w:rtl w:val="0"/>
        </w:rPr>
        <w:t xml:space="preserve">UNIDAD 1 Cinemática</w:t>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80" w:before="0" w:line="273.6" w:lineRule="auto"/>
        <w:ind w:left="0" w:right="0" w:firstLine="0"/>
        <w:jc w:val="both"/>
        <w:rPr>
          <w:rFonts w:ascii="Roboto" w:cs="Roboto" w:eastAsia="Roboto" w:hAnsi="Roboto"/>
        </w:rPr>
      </w:pPr>
      <w:r w:rsidDel="00000000" w:rsidR="00000000" w:rsidRPr="00000000">
        <w:rPr>
          <w:rFonts w:ascii="Roboto" w:cs="Roboto" w:eastAsia="Roboto" w:hAnsi="Roboto"/>
          <w:rtl w:val="0"/>
        </w:rPr>
        <w:t xml:space="preserve">Sistemas de referencia. Partícula. Trayectoria. El vector posición. El vector desplazamiento. Ecuaciones horarias. Gráficas horarias. Trayectoria y gráficas horarias. Vectores velocidad media e instantánea. Vectores aceleración media e instantánea. Movimiento rectilíneo uniforme y uniformemente variado. Movimiento plano. Tiro oblicuo. Movimiento circular uniforme y uniformemente variado. Movimiento relativo.</w:t>
      </w:r>
    </w:p>
    <w:p w:rsidR="00000000" w:rsidDel="00000000" w:rsidP="00000000" w:rsidRDefault="00000000" w:rsidRPr="00000000" w14:paraId="00000013">
      <w:pPr>
        <w:pStyle w:val="Heading2"/>
        <w:spacing w:after="80" w:line="273.6" w:lineRule="auto"/>
        <w:rPr/>
      </w:pPr>
      <w:bookmarkStart w:colFirst="0" w:colLast="0" w:name="_sznxc0s7akq9" w:id="2"/>
      <w:bookmarkEnd w:id="2"/>
      <w:r w:rsidDel="00000000" w:rsidR="00000000" w:rsidRPr="00000000">
        <w:rPr>
          <w:rtl w:val="0"/>
        </w:rPr>
        <w:t xml:space="preserve">UNIDAD 2 Dinámica</w:t>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80" w:before="0" w:line="273.6" w:lineRule="auto"/>
        <w:ind w:left="0" w:right="0" w:firstLine="0"/>
        <w:jc w:val="both"/>
        <w:rPr>
          <w:rFonts w:ascii="Roboto" w:cs="Roboto" w:eastAsia="Roboto" w:hAnsi="Roboto"/>
        </w:rPr>
      </w:pPr>
      <w:r w:rsidDel="00000000" w:rsidR="00000000" w:rsidRPr="00000000">
        <w:rPr>
          <w:rFonts w:ascii="Roboto" w:cs="Roboto" w:eastAsia="Roboto" w:hAnsi="Roboto"/>
          <w:rtl w:val="0"/>
        </w:rPr>
        <w:t xml:space="preserve">Masa. Leyes de Newton. Ley de Gravitación Universal. El concepto de Fuerza. Fuerza e interacción. Diagramas de cuerpo aislado. Sistemas de Unidades. Fuerza de roce. Movimientos periódicos. Período y frecuencia. El oscilador armónico simple. Ecuaciones del movimiento armónico simple. Fuerzas elásticas. Péndulo simple. Sistemas no Inerciales. Fuerzas inerciales y ficticias. Masa inercial y gravitatoria.</w:t>
      </w:r>
    </w:p>
    <w:p w:rsidR="00000000" w:rsidDel="00000000" w:rsidP="00000000" w:rsidRDefault="00000000" w:rsidRPr="00000000" w14:paraId="00000015">
      <w:pPr>
        <w:pStyle w:val="Heading2"/>
        <w:spacing w:after="80" w:line="273.6" w:lineRule="auto"/>
        <w:rPr/>
      </w:pPr>
      <w:bookmarkStart w:colFirst="0" w:colLast="0" w:name="_cauqrd4jrc" w:id="3"/>
      <w:bookmarkEnd w:id="3"/>
      <w:r w:rsidDel="00000000" w:rsidR="00000000" w:rsidRPr="00000000">
        <w:rPr>
          <w:rtl w:val="0"/>
        </w:rPr>
        <w:t xml:space="preserve">UNIDAD 3 Trabajo y Energía</w:t>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80" w:before="0" w:line="273.6" w:lineRule="auto"/>
        <w:ind w:left="0" w:right="0" w:firstLine="0"/>
        <w:jc w:val="both"/>
        <w:rPr>
          <w:rFonts w:ascii="Roboto" w:cs="Roboto" w:eastAsia="Roboto" w:hAnsi="Roboto"/>
        </w:rPr>
      </w:pPr>
      <w:r w:rsidDel="00000000" w:rsidR="00000000" w:rsidRPr="00000000">
        <w:rPr>
          <w:rFonts w:ascii="Roboto" w:cs="Roboto" w:eastAsia="Roboto" w:hAnsi="Roboto"/>
          <w:rtl w:val="0"/>
        </w:rPr>
        <w:t xml:space="preserve">Trabajo de una fuerza. Energía Cinética. Teorema del trabajo y la energía. Unidades de energía. Fuerzas conservativas, disipativas y de vínculo. Energía Potencial. Energías potenciales gravitatoria y elástica. Energía mecánica, principio de conservación. Potencia. Unidades.</w:t>
      </w:r>
    </w:p>
    <w:p w:rsidR="00000000" w:rsidDel="00000000" w:rsidP="00000000" w:rsidRDefault="00000000" w:rsidRPr="00000000" w14:paraId="00000017">
      <w:pPr>
        <w:pStyle w:val="Heading2"/>
        <w:spacing w:after="80" w:line="273.6" w:lineRule="auto"/>
        <w:rPr/>
      </w:pPr>
      <w:bookmarkStart w:colFirst="0" w:colLast="0" w:name="_gt2cgl47nbda" w:id="4"/>
      <w:bookmarkEnd w:id="4"/>
      <w:r w:rsidDel="00000000" w:rsidR="00000000" w:rsidRPr="00000000">
        <w:rPr>
          <w:rtl w:val="0"/>
        </w:rPr>
        <w:t xml:space="preserve">UNIDAD 4 Sistemas de Partículas</w:t>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80" w:before="0" w:line="273.6" w:lineRule="auto"/>
        <w:ind w:left="0" w:right="0" w:firstLine="0"/>
        <w:jc w:val="both"/>
        <w:rPr>
          <w:rFonts w:ascii="Roboto" w:cs="Roboto" w:eastAsia="Roboto" w:hAnsi="Roboto"/>
        </w:rPr>
      </w:pPr>
      <w:r w:rsidDel="00000000" w:rsidR="00000000" w:rsidRPr="00000000">
        <w:rPr>
          <w:rFonts w:ascii="Roboto" w:cs="Roboto" w:eastAsia="Roboto" w:hAnsi="Roboto"/>
          <w:rtl w:val="0"/>
        </w:rPr>
        <w:t xml:space="preserve">Impulso y cantidad de movimiento. Principio de conservación de la cantidad de movimiento lineal. Centro de Masas. Dos cuerpos sometidos a fuerzas centrales. Masa reducida. Concepto físico de Choque. Choque elástico, inelástico, plástico y desintegración. Energía en un sistema de partículas. Coeficiente de restitución. Fuerzas de retropropulsión. Movimiento de un cohete. Teorema de Trabajo y Energía en un sistema de partículas. Cantidad de movimiento angular. Conservación de la cantidad de movimiento angular.</w:t>
      </w:r>
    </w:p>
    <w:p w:rsidR="00000000" w:rsidDel="00000000" w:rsidP="00000000" w:rsidRDefault="00000000" w:rsidRPr="00000000" w14:paraId="00000019">
      <w:pPr>
        <w:pStyle w:val="Heading2"/>
        <w:spacing w:after="80" w:line="273.6" w:lineRule="auto"/>
        <w:rPr/>
      </w:pPr>
      <w:bookmarkStart w:colFirst="0" w:colLast="0" w:name="_qh1ycmrm48q3" w:id="5"/>
      <w:bookmarkEnd w:id="5"/>
      <w:r w:rsidDel="00000000" w:rsidR="00000000" w:rsidRPr="00000000">
        <w:rPr>
          <w:rtl w:val="0"/>
        </w:rPr>
        <w:t xml:space="preserve">UNIDAD 5 Cuerpo Rígido:</w:t>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80" w:before="0" w:line="273.6" w:lineRule="auto"/>
        <w:ind w:left="0" w:right="0" w:firstLine="0"/>
        <w:jc w:val="both"/>
        <w:rPr>
          <w:rFonts w:ascii="Roboto" w:cs="Roboto" w:eastAsia="Roboto" w:hAnsi="Roboto"/>
        </w:rPr>
      </w:pPr>
      <w:r w:rsidDel="00000000" w:rsidR="00000000" w:rsidRPr="00000000">
        <w:rPr>
          <w:rFonts w:ascii="Roboto" w:cs="Roboto" w:eastAsia="Roboto" w:hAnsi="Roboto"/>
          <w:rtl w:val="0"/>
        </w:rPr>
        <w:t xml:space="preserve">Definición de CR. Grados de libertad. Ecuaciones generales de movimiento. Rotación alrededor de un eje fijo. Momento de Inercia. Teorema de Steiner. Rototraslación plana de un CR no vinculado. Rodadura. Eje instantáneo. Momento cinético e impulso angular. Péndulo físico, centro de oscilación, centro de percusión. Energía de un CR en rotrotraslación. Teorema de trabajo y energía para un cuerpo rígido. Ejes principales de inercia. El giróscopo: precesión y nutación.</w:t>
      </w:r>
    </w:p>
    <w:p w:rsidR="00000000" w:rsidDel="00000000" w:rsidP="00000000" w:rsidRDefault="00000000" w:rsidRPr="00000000" w14:paraId="0000001B">
      <w:pPr>
        <w:pStyle w:val="Heading2"/>
        <w:spacing w:after="80" w:line="273.6" w:lineRule="auto"/>
        <w:rPr/>
      </w:pPr>
      <w:bookmarkStart w:colFirst="0" w:colLast="0" w:name="_7mu7mvbf8aup" w:id="6"/>
      <w:bookmarkEnd w:id="6"/>
      <w:r w:rsidDel="00000000" w:rsidR="00000000" w:rsidRPr="00000000">
        <w:rPr>
          <w:rtl w:val="0"/>
        </w:rPr>
        <w:t xml:space="preserve">UNIDAD 6 Hidrostática</w:t>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80" w:before="0" w:line="273.6" w:lineRule="auto"/>
        <w:ind w:left="0" w:right="0" w:firstLine="0"/>
        <w:jc w:val="both"/>
        <w:rPr>
          <w:rFonts w:ascii="Roboto" w:cs="Roboto" w:eastAsia="Roboto" w:hAnsi="Roboto"/>
        </w:rPr>
      </w:pPr>
      <w:r w:rsidDel="00000000" w:rsidR="00000000" w:rsidRPr="00000000">
        <w:rPr>
          <w:rFonts w:ascii="Roboto" w:cs="Roboto" w:eastAsia="Roboto" w:hAnsi="Roboto"/>
          <w:rtl w:val="0"/>
        </w:rPr>
        <w:t xml:space="preserve">La teoría de Torricelli. Propiedades de los fluidos. Presión. Viscosidad. Densidad. Estática de fluidos. Teorema fundamental de la hidrostática. Manómetros y Barómetros. Principio de Arquímedes. Flotación. Fluidos acelerados.</w:t>
      </w:r>
    </w:p>
    <w:p w:rsidR="00000000" w:rsidDel="00000000" w:rsidP="00000000" w:rsidRDefault="00000000" w:rsidRPr="00000000" w14:paraId="0000001D">
      <w:pPr>
        <w:pStyle w:val="Heading2"/>
        <w:spacing w:after="80" w:line="273.6" w:lineRule="auto"/>
        <w:rPr/>
      </w:pPr>
      <w:bookmarkStart w:colFirst="0" w:colLast="0" w:name="_h3fykdzbx4sc" w:id="7"/>
      <w:bookmarkEnd w:id="7"/>
      <w:r w:rsidDel="00000000" w:rsidR="00000000" w:rsidRPr="00000000">
        <w:rPr>
          <w:rtl w:val="0"/>
        </w:rPr>
        <w:t xml:space="preserve">UNIDAD 7 Hidrodinámica:</w:t>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80" w:before="0" w:line="273.6" w:lineRule="auto"/>
        <w:ind w:left="0" w:right="0" w:firstLine="0"/>
        <w:jc w:val="both"/>
        <w:rPr>
          <w:rFonts w:ascii="Roboto" w:cs="Roboto" w:eastAsia="Roboto" w:hAnsi="Roboto"/>
        </w:rPr>
      </w:pPr>
      <w:r w:rsidDel="00000000" w:rsidR="00000000" w:rsidRPr="00000000">
        <w:rPr>
          <w:rFonts w:ascii="Roboto" w:cs="Roboto" w:eastAsia="Roboto" w:hAnsi="Roboto"/>
          <w:rtl w:val="0"/>
        </w:rPr>
        <w:t xml:space="preserve">Dinámica de fluidos. Fluido ideal. Flujo estacionario. Caudal. Ecuación de continuidad. Teorema de Bernoulli. Tubos de Pitot y Venturi. Sustentación.</w:t>
      </w:r>
    </w:p>
    <w:p w:rsidR="00000000" w:rsidDel="00000000" w:rsidP="00000000" w:rsidRDefault="00000000" w:rsidRPr="00000000" w14:paraId="0000001F">
      <w:pPr>
        <w:pStyle w:val="Heading2"/>
        <w:spacing w:after="80" w:line="273.6" w:lineRule="auto"/>
        <w:rPr/>
      </w:pPr>
      <w:bookmarkStart w:colFirst="0" w:colLast="0" w:name="_2odvqp8zcws4" w:id="8"/>
      <w:bookmarkEnd w:id="8"/>
      <w:r w:rsidDel="00000000" w:rsidR="00000000" w:rsidRPr="00000000">
        <w:rPr>
          <w:rtl w:val="0"/>
        </w:rPr>
        <w:t xml:space="preserve">UNIDAD 8 Introducción a la Termodinámica</w:t>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80" w:before="0" w:line="273.6" w:lineRule="auto"/>
        <w:ind w:left="0" w:right="0" w:firstLine="0"/>
        <w:jc w:val="both"/>
        <w:rPr>
          <w:rFonts w:ascii="Roboto" w:cs="Roboto" w:eastAsia="Roboto" w:hAnsi="Roboto"/>
        </w:rPr>
      </w:pPr>
      <w:r w:rsidDel="00000000" w:rsidR="00000000" w:rsidRPr="00000000">
        <w:rPr>
          <w:rFonts w:ascii="Roboto" w:cs="Roboto" w:eastAsia="Roboto" w:hAnsi="Roboto"/>
          <w:rtl w:val="0"/>
        </w:rPr>
        <w:t xml:space="preserve">Conceptos de Energía Interna y Temperatura. Escalas de Temperatura. Calor. Capacidad calorífica y calor específico. Equilibrio térmico. Calorimetría. Equivalencia entre Calor y Trabajo. Modelo cinético molecular. Principios de la Termodinámica: primer principio.  </w:t>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80" w:before="0" w:line="273.6" w:lineRule="auto"/>
        <w:ind w:left="0" w:right="0"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22">
      <w:pPr>
        <w:pStyle w:val="Heading2"/>
        <w:rPr/>
      </w:pPr>
      <w:bookmarkStart w:colFirst="0" w:colLast="0" w:name="_br28lulne3sx" w:id="9"/>
      <w:bookmarkEnd w:id="9"/>
      <w:r w:rsidDel="00000000" w:rsidR="00000000" w:rsidRPr="00000000">
        <w:rPr>
          <w:rtl w:val="0"/>
        </w:rPr>
        <w:t xml:space="preserve">BIBLIOGRAFÍA</w:t>
      </w:r>
    </w:p>
    <w:p w:rsidR="00000000" w:rsidDel="00000000" w:rsidP="00000000" w:rsidRDefault="00000000" w:rsidRPr="00000000" w14:paraId="00000023">
      <w:pPr>
        <w:pStyle w:val="Heading3"/>
        <w:rPr/>
      </w:pPr>
      <w:bookmarkStart w:colFirst="0" w:colLast="0" w:name="_w3a3zplmvcmu" w:id="10"/>
      <w:bookmarkEnd w:id="10"/>
      <w:r w:rsidDel="00000000" w:rsidR="00000000" w:rsidRPr="00000000">
        <w:rPr>
          <w:rtl w:val="0"/>
        </w:rPr>
        <w:t xml:space="preserve">Básica</w:t>
      </w:r>
    </w:p>
    <w:p w:rsidR="00000000" w:rsidDel="00000000" w:rsidP="00000000" w:rsidRDefault="00000000" w:rsidRPr="00000000" w14:paraId="00000024">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"Física, Vol. 1" - Resnick, Halliday, Kenneth  </w:t>
      </w:r>
    </w:p>
    <w:p w:rsidR="00000000" w:rsidDel="00000000" w:rsidP="00000000" w:rsidRDefault="00000000" w:rsidRPr="00000000" w14:paraId="00000025">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"Física para la ciencia y la tecnología, Vol. 1" - Tipler, Mosca  </w:t>
      </w:r>
    </w:p>
    <w:p w:rsidR="00000000" w:rsidDel="00000000" w:rsidP="00000000" w:rsidRDefault="00000000" w:rsidRPr="00000000" w14:paraId="00000026">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"Física Universitaria, Vol. 1" - Sears, Zemansky, Young, Freedman  </w:t>
      </w:r>
    </w:p>
    <w:p w:rsidR="00000000" w:rsidDel="00000000" w:rsidP="00000000" w:rsidRDefault="00000000" w:rsidRPr="00000000" w14:paraId="00000027">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"Física, Vol. 1" - Alonso, Finn</w:t>
      </w:r>
    </w:p>
    <w:p w:rsidR="00000000" w:rsidDel="00000000" w:rsidP="00000000" w:rsidRDefault="00000000" w:rsidRPr="00000000" w14:paraId="00000028">
      <w:pPr>
        <w:pStyle w:val="Heading3"/>
        <w:spacing w:after="80" w:line="273.6" w:lineRule="auto"/>
        <w:rPr/>
      </w:pPr>
      <w:bookmarkStart w:colFirst="0" w:colLast="0" w:name="_v9nzk2du5ont" w:id="11"/>
      <w:bookmarkEnd w:id="11"/>
      <w:r w:rsidDel="00000000" w:rsidR="00000000" w:rsidRPr="00000000">
        <w:rPr>
          <w:rtl w:val="0"/>
        </w:rPr>
        <w:t xml:space="preserve">Complementaria</w:t>
      </w:r>
    </w:p>
    <w:p w:rsidR="00000000" w:rsidDel="00000000" w:rsidP="00000000" w:rsidRDefault="00000000" w:rsidRPr="00000000" w14:paraId="00000029">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"Física: Mecánica, radiación y calor, Vol. 1" - Feynman, Leighton, Sands  </w:t>
      </w:r>
    </w:p>
    <w:p w:rsidR="00000000" w:rsidDel="00000000" w:rsidP="00000000" w:rsidRDefault="00000000" w:rsidRPr="00000000" w14:paraId="0000002A">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"Fundamentos de física: mecánica, calor y sonido" - Sears  </w:t>
      </w:r>
    </w:p>
    <w:p w:rsidR="00000000" w:rsidDel="00000000" w:rsidP="00000000" w:rsidRDefault="00000000" w:rsidRPr="00000000" w14:paraId="0000002B">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"Calor y Termodinámica" - Zemansky, Dittman </w:t>
      </w:r>
    </w:p>
    <w:p w:rsidR="00000000" w:rsidDel="00000000" w:rsidP="00000000" w:rsidRDefault="00000000" w:rsidRPr="00000000" w14:paraId="0000002C">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"Mecánica elemental" - Roederer  </w:t>
      </w:r>
    </w:p>
    <w:p w:rsidR="00000000" w:rsidDel="00000000" w:rsidP="00000000" w:rsidRDefault="00000000" w:rsidRPr="00000000" w14:paraId="0000002D">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"Problemas Seleccionados de Física Elemental" - Bujovtsev  </w:t>
      </w:r>
    </w:p>
    <w:p w:rsidR="00000000" w:rsidDel="00000000" w:rsidP="00000000" w:rsidRDefault="00000000" w:rsidRPr="00000000" w14:paraId="0000002E">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"Física General" (serie Schaum's) - Bueche - Mc Graw Hill</w:t>
      </w:r>
    </w:p>
    <w:p w:rsidR="00000000" w:rsidDel="00000000" w:rsidP="00000000" w:rsidRDefault="00000000" w:rsidRPr="00000000" w14:paraId="0000002F">
      <w:pPr>
        <w:spacing w:after="80" w:line="273.6" w:lineRule="auto"/>
        <w:ind w:left="0" w:firstLine="0"/>
        <w:rPr>
          <w:rFonts w:ascii="Roboto" w:cs="Roboto" w:eastAsia="Roboto" w:hAnsi="Roboto"/>
        </w:rPr>
      </w:pPr>
      <w:r w:rsidDel="00000000" w:rsidR="00000000" w:rsidRPr="00000000">
        <w:rPr>
          <w:rtl w:val="0"/>
        </w:rPr>
      </w:r>
    </w:p>
    <w:sectPr>
      <w:headerReference r:id="rId6" w:type="default"/>
      <w:headerReference r:id="rId7" w:type="first"/>
      <w:footerReference r:id="rId8" w:type="default"/>
      <w:footerReference r:id="rId9" w:type="first"/>
      <w:pgSz w:h="16838" w:w="11906"/>
      <w:pgMar w:bottom="1133.8582677165355" w:top="1133.8582677165355" w:left="1133.8582677165355" w:right="1133.8582677165355" w:header="566.9291338582677" w:footer="566.929133858267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ora">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8">
    <w:pPr>
      <w:jc w:val="right"/>
      <w:rPr>
        <w:color w:val="16a085"/>
      </w:rPr>
    </w:pPr>
    <w:r w:rsidDel="00000000" w:rsidR="00000000" w:rsidRPr="00000000">
      <w:rPr>
        <w:color w:val="16a085"/>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9">
    <w:pPr>
      <w:jc w:val="right"/>
      <w:rPr>
        <w:rFonts w:ascii="Roboto" w:cs="Roboto" w:eastAsia="Roboto" w:hAnsi="Roboto"/>
        <w:color w:val="16a085"/>
      </w:rPr>
    </w:pPr>
    <w:r w:rsidDel="00000000" w:rsidR="00000000" w:rsidRPr="00000000">
      <w:rPr>
        <w:rFonts w:ascii="Roboto" w:cs="Roboto" w:eastAsia="Roboto" w:hAnsi="Roboto"/>
        <w:color w:val="16a085"/>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0">
    <w:pPr>
      <w:spacing w:line="240" w:lineRule="auto"/>
      <w:rPr>
        <w:rFonts w:ascii="Roboto" w:cs="Roboto" w:eastAsia="Roboto" w:hAnsi="Roboto"/>
        <w:sz w:val="4"/>
        <w:szCs w:val="4"/>
      </w:rPr>
    </w:pPr>
    <w:r w:rsidDel="00000000" w:rsidR="00000000" w:rsidRPr="00000000">
      <w:rPr>
        <w:rtl w:val="0"/>
      </w:rPr>
    </w:r>
  </w:p>
  <w:tbl>
    <w:tblPr>
      <w:tblStyle w:val="Table2"/>
      <w:tblW w:w="9630.0" w:type="dxa"/>
      <w:jc w:val="center"/>
      <w:tblLayout w:type="fixed"/>
      <w:tblLook w:val="0600"/>
    </w:tblPr>
    <w:tblGrid>
      <w:gridCol w:w="1245"/>
      <w:gridCol w:w="2550"/>
      <w:gridCol w:w="1275"/>
      <w:gridCol w:w="1350"/>
      <w:gridCol w:w="1230"/>
      <w:gridCol w:w="1980"/>
      <w:tblGridChange w:id="0">
        <w:tblGrid>
          <w:gridCol w:w="1245"/>
          <w:gridCol w:w="2550"/>
          <w:gridCol w:w="1275"/>
          <w:gridCol w:w="1350"/>
          <w:gridCol w:w="1230"/>
          <w:gridCol w:w="1980"/>
        </w:tblGrid>
      </w:tblGridChange>
    </w:tblGrid>
    <w:tr>
      <w:trPr>
        <w:trHeight w:val="1140" w:hRule="atLeast"/>
      </w:trPr>
      <w:tc>
        <w:tcPr>
          <w:shd w:fill="auto" w:val="clear"/>
          <w:tcMar>
            <w:top w:w="0.0" w:type="dxa"/>
            <w:left w:w="0.0" w:type="dxa"/>
            <w:bottom w:w="0.0" w:type="dxa"/>
            <w:right w:w="0.0" w:type="dxa"/>
          </w:tcMar>
          <w:vAlign w:val="center"/>
        </w:tcPr>
        <w:p w:rsidR="00000000" w:rsidDel="00000000" w:rsidP="00000000" w:rsidRDefault="00000000" w:rsidRPr="00000000" w14:paraId="00000031">
          <w:pPr>
            <w:spacing w:after="40" w:line="264" w:lineRule="auto"/>
            <w:jc w:val="left"/>
            <w:rPr>
              <w:rFonts w:ascii="Lora" w:cs="Lora" w:eastAsia="Lora" w:hAnsi="Lora"/>
              <w:b w:val="1"/>
              <w:sz w:val="18"/>
              <w:szCs w:val="18"/>
            </w:rPr>
          </w:pPr>
          <w:r w:rsidDel="00000000" w:rsidR="00000000" w:rsidRPr="00000000">
            <w:rPr>
              <w:rFonts w:ascii="Lora" w:cs="Lora" w:eastAsia="Lora" w:hAnsi="Lora"/>
              <w:b w:val="1"/>
              <w:sz w:val="18"/>
              <w:szCs w:val="18"/>
            </w:rPr>
            <w:drawing>
              <wp:inline distB="114300" distT="114300" distL="114300" distR="114300">
                <wp:extent cx="762000" cy="617175"/>
                <wp:effectExtent b="0" l="0" r="0" t="0"/>
                <wp:docPr id="1" name="image3.png"/>
                <a:graphic>
                  <a:graphicData uri="http://schemas.openxmlformats.org/drawingml/2006/picture">
                    <pic:pic>
                      <pic:nvPicPr>
                        <pic:cNvPr id="0" name="image3.png"/>
                        <pic:cNvPicPr preferRelativeResize="0"/>
                      </pic:nvPicPr>
                      <pic:blipFill>
                        <a:blip r:embed="rId1"/>
                        <a:srcRect b="9744" l="0" r="0" t="9031"/>
                        <a:stretch>
                          <a:fillRect/>
                        </a:stretch>
                      </pic:blipFill>
                      <pic:spPr>
                        <a:xfrm>
                          <a:off x="0" y="0"/>
                          <a:ext cx="762000" cy="617175"/>
                        </a:xfrm>
                        <a:prstGeom prst="rect"/>
                        <a:ln/>
                      </pic:spPr>
                    </pic:pic>
                  </a:graphicData>
                </a:graphic>
              </wp:inline>
            </w:drawing>
          </w:r>
          <w:r w:rsidDel="00000000" w:rsidR="00000000" w:rsidRPr="00000000">
            <w:rPr>
              <w:rtl w:val="0"/>
            </w:rPr>
          </w:r>
        </w:p>
      </w:tc>
      <w:tc>
        <w:tcPr>
          <w:shd w:fill="auto" w:val="clear"/>
          <w:tcMar>
            <w:top w:w="0.0" w:type="dxa"/>
            <w:left w:w="0.0" w:type="dxa"/>
            <w:bottom w:w="0.0" w:type="dxa"/>
            <w:right w:w="0.0" w:type="dxa"/>
          </w:tcMar>
          <w:vAlign w:val="center"/>
        </w:tcPr>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40" w:before="0" w:line="264" w:lineRule="auto"/>
            <w:ind w:left="0" w:right="0" w:firstLine="0"/>
            <w:jc w:val="center"/>
            <w:rPr>
              <w:rFonts w:ascii="Lora" w:cs="Lora" w:eastAsia="Lora" w:hAnsi="Lora"/>
              <w:sz w:val="18"/>
              <w:szCs w:val="18"/>
            </w:rPr>
          </w:pPr>
          <w:r w:rsidDel="00000000" w:rsidR="00000000" w:rsidRPr="00000000">
            <w:rPr>
              <w:rFonts w:ascii="Lora" w:cs="Lora" w:eastAsia="Lora" w:hAnsi="Lora"/>
              <w:sz w:val="18"/>
              <w:szCs w:val="18"/>
              <w:rtl w:val="0"/>
            </w:rPr>
            <w:t xml:space="preserve">Departamento de Ingeniería Química y en Alimentos</w:t>
          </w:r>
        </w:p>
      </w:tc>
      <w:tc>
        <w:tcPr>
          <w:shd w:fill="auto" w:val="clear"/>
          <w:tcMar>
            <w:top w:w="0.0" w:type="dxa"/>
            <w:left w:w="0.0" w:type="dxa"/>
            <w:bottom w:w="0.0" w:type="dxa"/>
            <w:right w:w="0.0" w:type="dxa"/>
          </w:tcMar>
          <w:vAlign w:val="center"/>
        </w:tcPr>
        <w:p w:rsidR="00000000" w:rsidDel="00000000" w:rsidP="00000000" w:rsidRDefault="00000000" w:rsidRPr="00000000" w14:paraId="00000033">
          <w:pPr>
            <w:spacing w:after="40" w:line="264" w:lineRule="auto"/>
            <w:jc w:val="right"/>
            <w:rPr>
              <w:rFonts w:ascii="Lora" w:cs="Lora" w:eastAsia="Lora" w:hAnsi="Lora"/>
              <w:sz w:val="18"/>
              <w:szCs w:val="18"/>
            </w:rPr>
          </w:pPr>
          <w:r w:rsidDel="00000000" w:rsidR="00000000" w:rsidRPr="00000000">
            <w:rPr>
              <w:rFonts w:ascii="Lora" w:cs="Lora" w:eastAsia="Lora" w:hAnsi="Lora"/>
              <w:sz w:val="18"/>
              <w:szCs w:val="18"/>
            </w:rPr>
            <w:drawing>
              <wp:inline distB="114300" distT="114300" distL="114300" distR="114300">
                <wp:extent cx="819150" cy="642938"/>
                <wp:effectExtent b="0" l="0" r="0" t="0"/>
                <wp:docPr id="2" name="image4.png"/>
                <a:graphic>
                  <a:graphicData uri="http://schemas.openxmlformats.org/drawingml/2006/picture">
                    <pic:pic>
                      <pic:nvPicPr>
                        <pic:cNvPr id="0" name="image4.png"/>
                        <pic:cNvPicPr preferRelativeResize="0"/>
                      </pic:nvPicPr>
                      <pic:blipFill>
                        <a:blip r:embed="rId2"/>
                        <a:srcRect b="8720" l="0" r="0" t="12790"/>
                        <a:stretch>
                          <a:fillRect/>
                        </a:stretch>
                      </pic:blipFill>
                      <pic:spPr>
                        <a:xfrm>
                          <a:off x="0" y="0"/>
                          <a:ext cx="819150" cy="642938"/>
                        </a:xfrm>
                        <a:prstGeom prst="rect"/>
                        <a:ln/>
                      </pic:spPr>
                    </pic:pic>
                  </a:graphicData>
                </a:graphic>
              </wp:inline>
            </w:drawing>
          </w:r>
          <w:r w:rsidDel="00000000" w:rsidR="00000000" w:rsidRPr="00000000">
            <w:rPr>
              <w:rtl w:val="0"/>
            </w:rPr>
          </w:r>
        </w:p>
      </w:tc>
      <w:tc>
        <w:tcPr>
          <w:shd w:fill="auto" w:val="clear"/>
          <w:tcMar>
            <w:top w:w="0.0" w:type="dxa"/>
            <w:left w:w="0.0" w:type="dxa"/>
            <w:bottom w:w="0.0" w:type="dxa"/>
            <w:right w:w="0.0" w:type="dxa"/>
          </w:tcMar>
          <w:vAlign w:val="center"/>
        </w:tcPr>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40" w:before="0" w:line="264" w:lineRule="auto"/>
            <w:ind w:left="0" w:right="0" w:firstLine="0"/>
            <w:jc w:val="center"/>
            <w:rPr>
              <w:rFonts w:ascii="Lora" w:cs="Lora" w:eastAsia="Lora" w:hAnsi="Lora"/>
              <w:sz w:val="18"/>
              <w:szCs w:val="18"/>
            </w:rPr>
          </w:pPr>
          <w:r w:rsidDel="00000000" w:rsidR="00000000" w:rsidRPr="00000000">
            <w:rPr>
              <w:rFonts w:ascii="Lora" w:cs="Lora" w:eastAsia="Lora" w:hAnsi="Lora"/>
              <w:sz w:val="18"/>
              <w:szCs w:val="18"/>
              <w:rtl w:val="0"/>
            </w:rPr>
            <w:t xml:space="preserve">Facultad de Ingeniería</w:t>
          </w:r>
        </w:p>
      </w:tc>
      <w:tc>
        <w:tcPr>
          <w:shd w:fill="auto" w:val="clear"/>
          <w:tcMar>
            <w:top w:w="0.0" w:type="dxa"/>
            <w:left w:w="0.0" w:type="dxa"/>
            <w:bottom w:w="0.0" w:type="dxa"/>
            <w:right w:w="0.0" w:type="dxa"/>
          </w:tcMar>
          <w:vAlign w:val="center"/>
        </w:tcPr>
        <w:p w:rsidR="00000000" w:rsidDel="00000000" w:rsidP="00000000" w:rsidRDefault="00000000" w:rsidRPr="00000000" w14:paraId="00000035">
          <w:pPr>
            <w:spacing w:after="40" w:line="264" w:lineRule="auto"/>
            <w:jc w:val="right"/>
            <w:rPr>
              <w:rFonts w:ascii="Lora" w:cs="Lora" w:eastAsia="Lora" w:hAnsi="Lora"/>
              <w:sz w:val="18"/>
              <w:szCs w:val="18"/>
            </w:rPr>
          </w:pPr>
          <w:r w:rsidDel="00000000" w:rsidR="00000000" w:rsidRPr="00000000">
            <w:rPr>
              <w:rFonts w:ascii="Lora" w:cs="Lora" w:eastAsia="Lora" w:hAnsi="Lora"/>
              <w:sz w:val="18"/>
              <w:szCs w:val="18"/>
            </w:rPr>
            <w:drawing>
              <wp:inline distB="114300" distT="114300" distL="114300" distR="114300">
                <wp:extent cx="544875" cy="544875"/>
                <wp:effectExtent b="0" l="0" r="0" t="0"/>
                <wp:docPr id="3" name="image5.png"/>
                <a:graphic>
                  <a:graphicData uri="http://schemas.openxmlformats.org/drawingml/2006/picture">
                    <pic:pic>
                      <pic:nvPicPr>
                        <pic:cNvPr id="0" name="image5.png"/>
                        <pic:cNvPicPr preferRelativeResize="0"/>
                      </pic:nvPicPr>
                      <pic:blipFill>
                        <a:blip r:embed="rId3"/>
                        <a:srcRect b="0" l="0" r="0" t="0"/>
                        <a:stretch>
                          <a:fillRect/>
                        </a:stretch>
                      </pic:blipFill>
                      <pic:spPr>
                        <a:xfrm>
                          <a:off x="0" y="0"/>
                          <a:ext cx="544875" cy="544875"/>
                        </a:xfrm>
                        <a:prstGeom prst="rect"/>
                        <a:ln/>
                      </pic:spPr>
                    </pic:pic>
                  </a:graphicData>
                </a:graphic>
              </wp:inline>
            </w:drawing>
          </w:r>
          <w:r w:rsidDel="00000000" w:rsidR="00000000" w:rsidRPr="00000000">
            <w:rPr>
              <w:rtl w:val="0"/>
            </w:rPr>
          </w:r>
        </w:p>
      </w:tc>
      <w:tc>
        <w:tcPr>
          <w:shd w:fill="auto" w:val="clear"/>
          <w:tcMar>
            <w:top w:w="0.0" w:type="dxa"/>
            <w:left w:w="0.0" w:type="dxa"/>
            <w:bottom w:w="0.0" w:type="dxa"/>
            <w:right w:w="0.0" w:type="dxa"/>
          </w:tcMar>
          <w:vAlign w:val="center"/>
        </w:tcPr>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40" w:before="0" w:line="264" w:lineRule="auto"/>
            <w:ind w:left="0" w:right="0" w:firstLine="0"/>
            <w:jc w:val="center"/>
            <w:rPr>
              <w:rFonts w:ascii="Lora" w:cs="Lora" w:eastAsia="Lora" w:hAnsi="Lora"/>
              <w:sz w:val="18"/>
              <w:szCs w:val="18"/>
            </w:rPr>
          </w:pPr>
          <w:r w:rsidDel="00000000" w:rsidR="00000000" w:rsidRPr="00000000">
            <w:rPr>
              <w:rFonts w:ascii="Lora" w:cs="Lora" w:eastAsia="Lora" w:hAnsi="Lora"/>
              <w:sz w:val="18"/>
              <w:szCs w:val="18"/>
              <w:rtl w:val="0"/>
            </w:rPr>
            <w:t xml:space="preserve">Universidad Nacional de Mar del Plata</w:t>
          </w:r>
        </w:p>
      </w:tc>
    </w:tr>
  </w:tbl>
  <w:p w:rsidR="00000000" w:rsidDel="00000000" w:rsidP="00000000" w:rsidRDefault="00000000" w:rsidRPr="00000000" w14:paraId="00000037">
    <w:pPr>
      <w:spacing w:line="240" w:lineRule="auto"/>
      <w:rPr/>
    </w:pPr>
    <w:r w:rsidDel="00000000" w:rsidR="00000000" w:rsidRPr="00000000">
      <w:pict>
        <v:rect style="width:0.0pt;height:1.5pt" o:hr="t" o:hrstd="t" o:hralign="center" fillcolor="#A0A0A0" stroked="f"/>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jc w:val="center"/>
    </w:pPr>
    <w:rPr>
      <w:rFonts w:ascii="Roboto" w:cs="Roboto" w:eastAsia="Roboto" w:hAnsi="Roboto"/>
      <w:b w:val="1"/>
      <w:color w:val="16a085"/>
      <w:sz w:val="32"/>
      <w:szCs w:val="32"/>
    </w:rPr>
  </w:style>
  <w:style w:type="paragraph" w:styleId="Heading2">
    <w:name w:val="heading 2"/>
    <w:basedOn w:val="Normal"/>
    <w:next w:val="Normal"/>
    <w:pPr>
      <w:keepNext w:val="1"/>
      <w:keepLines w:val="1"/>
      <w:spacing w:after="40" w:before="200" w:line="271.2" w:lineRule="auto"/>
    </w:pPr>
    <w:rPr>
      <w:rFonts w:ascii="Roboto" w:cs="Roboto" w:eastAsia="Roboto" w:hAnsi="Roboto"/>
      <w:b w:val="1"/>
      <w:color w:val="16a085"/>
      <w:sz w:val="28"/>
      <w:szCs w:val="28"/>
    </w:rPr>
  </w:style>
  <w:style w:type="paragraph" w:styleId="Heading3">
    <w:name w:val="heading 3"/>
    <w:basedOn w:val="Normal"/>
    <w:next w:val="Normal"/>
    <w:pPr>
      <w:keepNext w:val="1"/>
      <w:keepLines w:val="1"/>
      <w:spacing w:after="80" w:before="320" w:line="273.6" w:lineRule="auto"/>
    </w:pPr>
    <w:rPr>
      <w:rFonts w:ascii="Roboto" w:cs="Roboto" w:eastAsia="Roboto" w:hAnsi="Roboto"/>
      <w:b w:val="1"/>
      <w:i w:val="1"/>
      <w:color w:val="434343"/>
      <w:sz w:val="24"/>
      <w:szCs w:val="24"/>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Lora-regular.ttf"/><Relationship Id="rId6" Type="http://schemas.openxmlformats.org/officeDocument/2006/relationships/font" Target="fonts/Lora-bold.ttf"/><Relationship Id="rId7" Type="http://schemas.openxmlformats.org/officeDocument/2006/relationships/font" Target="fonts/Lora-italic.ttf"/><Relationship Id="rId8" Type="http://schemas.openxmlformats.org/officeDocument/2006/relationships/font" Target="fonts/Lora-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png"/><Relationship Id="rId3"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