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09E0" w:rsidRDefault="00F109E0">
      <w:pPr>
        <w:rPr>
          <w:rFonts w:ascii="Roboto" w:eastAsia="Roboto" w:hAnsi="Roboto" w:cs="Roboto"/>
          <w:sz w:val="16"/>
          <w:szCs w:val="16"/>
        </w:rPr>
      </w:pPr>
      <w:bookmarkStart w:id="0" w:name="_GoBack"/>
      <w:bookmarkEnd w:id="0"/>
    </w:p>
    <w:tbl>
      <w:tblPr>
        <w:tblStyle w:val="a"/>
        <w:tblW w:w="9630" w:type="dxa"/>
        <w:jc w:val="center"/>
        <w:tblInd w:w="0" w:type="dxa"/>
        <w:tblLayout w:type="fixed"/>
        <w:tblLook w:val="0600" w:firstRow="0" w:lastRow="0" w:firstColumn="0" w:lastColumn="0" w:noHBand="1" w:noVBand="1"/>
      </w:tblPr>
      <w:tblGrid>
        <w:gridCol w:w="1710"/>
        <w:gridCol w:w="5865"/>
        <w:gridCol w:w="855"/>
        <w:gridCol w:w="1200"/>
      </w:tblGrid>
      <w:tr w:rsidR="00F109E0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F109E0" w:rsidRDefault="00C233FD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CARRERA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F109E0" w:rsidRDefault="00C23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Ingeniería Química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F109E0" w:rsidRDefault="00C233FD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PLAN</w:t>
            </w: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F109E0" w:rsidRDefault="00C23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2003</w:t>
            </w:r>
          </w:p>
        </w:tc>
      </w:tr>
      <w:tr w:rsidR="00F109E0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F109E0" w:rsidRDefault="00C233FD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ASIGNATURA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F109E0" w:rsidRDefault="00C23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Biomateriales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F109E0" w:rsidRDefault="00C233FD">
            <w:pPr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COD.</w:t>
            </w: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F109E0" w:rsidRDefault="00C23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552</w:t>
            </w:r>
          </w:p>
        </w:tc>
      </w:tr>
      <w:tr w:rsidR="00F109E0">
        <w:trPr>
          <w:jc w:val="center"/>
        </w:trPr>
        <w:tc>
          <w:tcPr>
            <w:tcW w:w="171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F109E0" w:rsidRDefault="00C23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color w:val="16A085"/>
                <w:sz w:val="24"/>
                <w:szCs w:val="24"/>
              </w:rPr>
              <w:t>TIPO</w:t>
            </w:r>
          </w:p>
        </w:tc>
        <w:tc>
          <w:tcPr>
            <w:tcW w:w="586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F109E0" w:rsidRDefault="00C233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b/>
                <w:sz w:val="24"/>
                <w:szCs w:val="24"/>
              </w:rPr>
            </w:pPr>
            <w:r>
              <w:rPr>
                <w:rFonts w:ascii="Roboto" w:eastAsia="Roboto" w:hAnsi="Roboto" w:cs="Roboto"/>
                <w:b/>
                <w:sz w:val="24"/>
                <w:szCs w:val="24"/>
              </w:rPr>
              <w:t>Optativa</w:t>
            </w:r>
          </w:p>
        </w:tc>
        <w:tc>
          <w:tcPr>
            <w:tcW w:w="855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F109E0" w:rsidRDefault="00F109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sz w:val="24"/>
                <w:szCs w:val="24"/>
              </w:rPr>
            </w:pPr>
          </w:p>
        </w:tc>
        <w:tc>
          <w:tcPr>
            <w:tcW w:w="1200" w:type="dxa"/>
            <w:shd w:val="clear" w:color="auto" w:fill="auto"/>
            <w:tcMar>
              <w:top w:w="51" w:type="dxa"/>
              <w:left w:w="51" w:type="dxa"/>
              <w:bottom w:w="51" w:type="dxa"/>
              <w:right w:w="51" w:type="dxa"/>
            </w:tcMar>
            <w:vAlign w:val="center"/>
          </w:tcPr>
          <w:p w:rsidR="00F109E0" w:rsidRDefault="00F109E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Roboto" w:eastAsia="Roboto" w:hAnsi="Roboto" w:cs="Roboto"/>
                <w:sz w:val="24"/>
                <w:szCs w:val="24"/>
              </w:rPr>
            </w:pPr>
          </w:p>
        </w:tc>
      </w:tr>
    </w:tbl>
    <w:p w:rsidR="00F109E0" w:rsidRDefault="00C233FD">
      <w:pPr>
        <w:rPr>
          <w:rFonts w:ascii="Roboto" w:eastAsia="Roboto" w:hAnsi="Roboto" w:cs="Roboto"/>
        </w:rPr>
      </w:pPr>
      <w:r>
        <w:pict>
          <v:rect id="_x0000_i1025" style="width:0;height:1.5pt" o:hralign="center" o:hrstd="t" o:hr="t" fillcolor="#a0a0a0" stroked="f"/>
        </w:pict>
      </w:r>
    </w:p>
    <w:p w:rsidR="00F109E0" w:rsidRDefault="00C233FD">
      <w:pPr>
        <w:pStyle w:val="Ttulo1"/>
      </w:pPr>
      <w:bookmarkStart w:id="1" w:name="_nddimbltco0o" w:colFirst="0" w:colLast="0"/>
      <w:bookmarkEnd w:id="1"/>
      <w:r>
        <w:t xml:space="preserve">PROGRAMA ANALÍTICO </w:t>
      </w:r>
    </w:p>
    <w:p w:rsidR="00F109E0" w:rsidRDefault="00C233FD">
      <w:pPr>
        <w:jc w:val="center"/>
        <w:rPr>
          <w:rFonts w:ascii="Roboto" w:eastAsia="Roboto" w:hAnsi="Roboto" w:cs="Roboto"/>
          <w:sz w:val="20"/>
          <w:szCs w:val="20"/>
        </w:rPr>
      </w:pPr>
      <w:r>
        <w:rPr>
          <w:rFonts w:ascii="Roboto" w:eastAsia="Roboto" w:hAnsi="Roboto" w:cs="Roboto"/>
          <w:sz w:val="20"/>
          <w:szCs w:val="20"/>
        </w:rPr>
        <w:t>(A partir del Ciclo Lectivo 2017)</w:t>
      </w:r>
    </w:p>
    <w:p w:rsidR="00F109E0" w:rsidRDefault="00C233FD">
      <w:pPr>
        <w:pStyle w:val="Ttulo2"/>
      </w:pPr>
      <w:bookmarkStart w:id="2" w:name="_6qtl45vi620w" w:colFirst="0" w:colLast="0"/>
      <w:bookmarkEnd w:id="2"/>
      <w:r>
        <w:t>UNIDAD I.</w:t>
      </w:r>
    </w:p>
    <w:p w:rsidR="00F109E0" w:rsidRDefault="00C233FD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Introducción sobre Biomateriales. Tipos de Biomateriales: cerámicos, metálicos, compuestos y poliméricos. Breve historia de los Biomateriales. Ciencia y Mercado de biomateriales. Aplicaciones de biomateriales. Diseño de biomateriales de avanzada: Biomiméti</w:t>
      </w:r>
      <w:r>
        <w:rPr>
          <w:rFonts w:ascii="Roboto" w:eastAsia="Roboto" w:hAnsi="Roboto" w:cs="Roboto"/>
        </w:rPr>
        <w:t xml:space="preserve">ca, Materiales Híbridos, Rapid prototyping, Nanotecnologías, scaffolds. </w:t>
      </w:r>
    </w:p>
    <w:p w:rsidR="00F109E0" w:rsidRDefault="00C233FD">
      <w:pPr>
        <w:pStyle w:val="Ttulo2"/>
      </w:pPr>
      <w:bookmarkStart w:id="3" w:name="_1052qz7kqqst" w:colFirst="0" w:colLast="0"/>
      <w:bookmarkEnd w:id="3"/>
      <w:r>
        <w:t>UNIDAD II.</w:t>
      </w:r>
    </w:p>
    <w:p w:rsidR="00F109E0" w:rsidRDefault="00C233FD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Caracterización de Biomateriales. Relación estructura-Propiedades. Propiedades mecánicas y superficiales. Características físicas y químicas. Propiedades térmicas y eléctri</w:t>
      </w:r>
      <w:r>
        <w:rPr>
          <w:rFonts w:ascii="Roboto" w:eastAsia="Roboto" w:hAnsi="Roboto" w:cs="Roboto"/>
        </w:rPr>
        <w:t xml:space="preserve">cas. Fractura y fatiga de biomateriales. Dureza y desgaste. Técnicas de modificación de superficies. Técnicas de caracterización de materiales y superficies. </w:t>
      </w:r>
    </w:p>
    <w:p w:rsidR="00F109E0" w:rsidRDefault="00C233FD">
      <w:pPr>
        <w:pStyle w:val="Ttulo2"/>
      </w:pPr>
      <w:bookmarkStart w:id="4" w:name="_u5r1935edely" w:colFirst="0" w:colLast="0"/>
      <w:bookmarkEnd w:id="4"/>
      <w:r>
        <w:t>UNIDAD III.</w:t>
      </w:r>
    </w:p>
    <w:p w:rsidR="00F109E0" w:rsidRDefault="00C233FD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Biomateriales cerámicos: cristalinos, vítreos y vitrocerámicos. Óxido de aluminio, óx</w:t>
      </w:r>
      <w:r>
        <w:rPr>
          <w:rFonts w:ascii="Roboto" w:eastAsia="Roboto" w:hAnsi="Roboto" w:cs="Roboto"/>
        </w:rPr>
        <w:t>ido de zirconio. Fosfatos de calcio, hidroxiapatita densa y porosa. Vidrios y vitrocerámicos bioactivos. Relación estructura-propiedades. Rellenos cerámicos. Andamios. Recubrimientos cerámicos. Falla de materiales cerámicos. Diseño mecánico de cerámicos, c</w:t>
      </w:r>
      <w:r>
        <w:rPr>
          <w:rFonts w:ascii="Roboto" w:eastAsia="Roboto" w:hAnsi="Roboto" w:cs="Roboto"/>
        </w:rPr>
        <w:t xml:space="preserve">aracterización y normas. </w:t>
      </w:r>
    </w:p>
    <w:p w:rsidR="00F109E0" w:rsidRDefault="00C233FD">
      <w:pPr>
        <w:pStyle w:val="Ttulo2"/>
      </w:pPr>
      <w:bookmarkStart w:id="5" w:name="_nihep53xjmgc" w:colFirst="0" w:colLast="0"/>
      <w:bookmarkEnd w:id="5"/>
      <w:r>
        <w:t>UNIDAD IV.</w:t>
      </w:r>
    </w:p>
    <w:p w:rsidR="00F109E0" w:rsidRDefault="00C233FD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Biomateriales metálicos. Tipos: aleaciones de base hierro, aceros inoxidables, Titanio y aleaciones de base Ti, aleaciones de base Cobalto (Co-Cr, Co-Cr-Mo), otros metales y aleaciones. Relación estructura-propiedades. </w:t>
      </w:r>
      <w:r>
        <w:rPr>
          <w:rFonts w:ascii="Roboto" w:eastAsia="Roboto" w:hAnsi="Roboto" w:cs="Roboto"/>
        </w:rPr>
        <w:t xml:space="preserve">Análisis y modificación de superficies. Implantes permanentes y temporarios, ortopédicos y dentales. Prótesis y elementos de fijación. Degradación de materiales metálicos. Corrosión en medios fisiológicos. Cuplas Galvánicas. Protección. </w:t>
      </w:r>
    </w:p>
    <w:p w:rsidR="00F109E0" w:rsidRDefault="00C233FD">
      <w:pPr>
        <w:pStyle w:val="Ttulo2"/>
      </w:pPr>
      <w:bookmarkStart w:id="6" w:name="_j7ycxe1gnspi" w:colFirst="0" w:colLast="0"/>
      <w:bookmarkEnd w:id="6"/>
      <w:r>
        <w:t>UNIDAD V.</w:t>
      </w:r>
    </w:p>
    <w:p w:rsidR="00F109E0" w:rsidRDefault="00C233FD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Biomater</w:t>
      </w:r>
      <w:r>
        <w:rPr>
          <w:rFonts w:ascii="Roboto" w:eastAsia="Roboto" w:hAnsi="Roboto" w:cs="Roboto"/>
        </w:rPr>
        <w:t>iales poliméricos: Sintéticos y Naturales. Selección o diseño de materiales y tecnologías. Relación estructura-propiedades. Materiales "commodities", grado médico y especiales. Films, fibras, tejidos, compuestos, espumas, polvos, pellets, oligómeros y solu</w:t>
      </w:r>
      <w:r>
        <w:rPr>
          <w:rFonts w:ascii="Roboto" w:eastAsia="Roboto" w:hAnsi="Roboto" w:cs="Roboto"/>
        </w:rPr>
        <w:t xml:space="preserve">ciones. Polímeros bioabsorbibles y bioerosionables. Elastómeros: poliuretanos bioestables y </w:t>
      </w:r>
      <w:r>
        <w:rPr>
          <w:rFonts w:ascii="Roboto" w:eastAsia="Roboto" w:hAnsi="Roboto" w:cs="Roboto"/>
        </w:rPr>
        <w:lastRenderedPageBreak/>
        <w:t>biorreabsorbibles, siliconas, poliolefinas, PVC, EVA, etc. Acrílicos. Hidrogeles: HEMA y PVA. Poliacetales. Policarbonatos. Poliésteres. Materiales híbridos. Materi</w:t>
      </w:r>
      <w:r>
        <w:rPr>
          <w:rFonts w:ascii="Roboto" w:eastAsia="Roboto" w:hAnsi="Roboto" w:cs="Roboto"/>
        </w:rPr>
        <w:t>ales Compuestos. Biomateriales Naturales o Biopolímeros. Bioestabilidad y Degradación de Polímeros: swelling, leaching, mineralización, hidrólisis, termólisis, etc. Fricción y desgaste. Efectos locales y sistémicos de los productos de degradación. Polímero</w:t>
      </w:r>
      <w:r>
        <w:rPr>
          <w:rFonts w:ascii="Roboto" w:eastAsia="Roboto" w:hAnsi="Roboto" w:cs="Roboto"/>
        </w:rPr>
        <w:t>s en implantes temporarios y permanentes. Descartables. Aplicación en técnicas terapéuticas y de diagnóstico. Polímeros y Nanotecnologías. Aplicaciones en tejidos blandos: catéteres, hidrogeles, suturas, adhesivos, dispositivos percutáneos, piel artificial</w:t>
      </w:r>
      <w:r>
        <w:rPr>
          <w:rFonts w:ascii="Roboto" w:eastAsia="Roboto" w:hAnsi="Roboto" w:cs="Roboto"/>
        </w:rPr>
        <w:t xml:space="preserve">, implantes vasculares, dispositivos de asistencia ventricular, prótesis oculares, etc. </w:t>
      </w:r>
    </w:p>
    <w:p w:rsidR="00F109E0" w:rsidRDefault="00C233FD">
      <w:pPr>
        <w:pStyle w:val="Ttulo2"/>
      </w:pPr>
      <w:bookmarkStart w:id="7" w:name="_aexvlgjxavqp" w:colFirst="0" w:colLast="0"/>
      <w:bookmarkEnd w:id="7"/>
      <w:r>
        <w:t>UNIDAD VI.</w:t>
      </w:r>
    </w:p>
    <w:p w:rsidR="00F109E0" w:rsidRDefault="00C233FD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Biocompatibilidad General y Tisular. Principios generales y clasificación. Normalización en la evaluación de biomateriales. Factores críticos que afectan la</w:t>
      </w:r>
      <w:r>
        <w:rPr>
          <w:rFonts w:ascii="Roboto" w:eastAsia="Roboto" w:hAnsi="Roboto" w:cs="Roboto"/>
        </w:rPr>
        <w:t xml:space="preserve"> viabilidad a largo plazo. Axiomas posibles para un biomaterial ideal. Biocompatibilidad tisular. Resolución de la cicatrización en presencia de implantes. Respuesta inmune. Carcinogénesis química y de cuerpo extraño. Biocompatibilidad comparada de cerámic</w:t>
      </w:r>
      <w:r>
        <w:rPr>
          <w:rFonts w:ascii="Roboto" w:eastAsia="Roboto" w:hAnsi="Roboto" w:cs="Roboto"/>
        </w:rPr>
        <w:t>os, metales y polímeros. Hemocompatibilidad. Superficies no-trombogénicas. Aplicaciones en relación a tejidos duros. Polímeros en Ortopedia: elementos de fijación, tutores, yesos, rellenos óseos, reemplazo de articulaciones, tendones y ligamentos. Material</w:t>
      </w:r>
      <w:r>
        <w:rPr>
          <w:rFonts w:ascii="Roboto" w:eastAsia="Roboto" w:hAnsi="Roboto" w:cs="Roboto"/>
        </w:rPr>
        <w:t>es en cirugía maxilofacial: Reparación ósea y dental. Reconstrucción y aumento de hueso alveolar. Dientes: esmalte, dentina, cemento, periodonto, gingiva. Propiedades físicas. Materiales para restauraciones: amalgamas, resinas, ionómeros, cementos (fosfato</w:t>
      </w:r>
      <w:r>
        <w:rPr>
          <w:rFonts w:ascii="Roboto" w:eastAsia="Roboto" w:hAnsi="Roboto" w:cs="Roboto"/>
        </w:rPr>
        <w:t xml:space="preserve">s, policarboxilatos, polimetacrilatos). Coronas y puentes. Porcelanas dentales: composición y procesamiento. Vitrocerámicos. Implantes dentales: subperiósticos y endo óseos. Materiales para cirugía de huesos del oído. </w:t>
      </w:r>
    </w:p>
    <w:p w:rsidR="00F109E0" w:rsidRDefault="00C233FD">
      <w:pPr>
        <w:pStyle w:val="Ttulo2"/>
      </w:pPr>
      <w:bookmarkStart w:id="8" w:name="_b9oqtd8niqx1" w:colFirst="0" w:colLast="0"/>
      <w:bookmarkEnd w:id="8"/>
      <w:r>
        <w:t>UNIDAD VII.</w:t>
      </w:r>
    </w:p>
    <w:p w:rsidR="00F109E0" w:rsidRDefault="00C233FD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Ingeniería de tejidos. El</w:t>
      </w:r>
      <w:r>
        <w:rPr>
          <w:rFonts w:ascii="Roboto" w:eastAsia="Roboto" w:hAnsi="Roboto" w:cs="Roboto"/>
        </w:rPr>
        <w:t>ementos fundamentales. Soportes tridimensionales porosos. Selección de materiales. Técnicas de procesamiento y caracterización.</w:t>
      </w:r>
    </w:p>
    <w:p w:rsidR="00F109E0" w:rsidRDefault="00C233FD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Órganos artificiales. </w:t>
      </w:r>
    </w:p>
    <w:p w:rsidR="00F109E0" w:rsidRDefault="00C233FD">
      <w:pPr>
        <w:pStyle w:val="Ttulo2"/>
      </w:pPr>
      <w:bookmarkStart w:id="9" w:name="_q37r58cyquqo" w:colFirst="0" w:colLast="0"/>
      <w:bookmarkEnd w:id="9"/>
      <w:r>
        <w:t>UNIDAD VIII.</w:t>
      </w:r>
    </w:p>
    <w:p w:rsidR="00F109E0" w:rsidRDefault="00C233FD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Evaluación de la performance biológica de los biomateriales. Biocompatibilidad: evaluación d</w:t>
      </w:r>
      <w:r>
        <w:rPr>
          <w:rFonts w:ascii="Roboto" w:eastAsia="Roboto" w:hAnsi="Roboto" w:cs="Roboto"/>
        </w:rPr>
        <w:t>e interacción biomaterial-sistema biológico mediante ensayos in vitro, in vivo y ex vivo .Normalización de ensayos. Ensayos in vitro: citocompatibilidad y citotoxicidad. Interacción celular con la superficie del biomaterial. Bioadhesión, Diferenciación y p</w:t>
      </w:r>
      <w:r>
        <w:rPr>
          <w:rFonts w:ascii="Roboto" w:eastAsia="Roboto" w:hAnsi="Roboto" w:cs="Roboto"/>
        </w:rPr>
        <w:t xml:space="preserve">roliferación celular. Ensayos in vitro sin cultivos: tratamiento en soluciones fisiológicas. Ensayos in vivo. Implantes Modelo. Histocompatibilidad. </w:t>
      </w:r>
    </w:p>
    <w:p w:rsidR="00F109E0" w:rsidRDefault="00C233FD">
      <w:pPr>
        <w:pStyle w:val="Ttulo2"/>
      </w:pPr>
      <w:bookmarkStart w:id="10" w:name="_cv3whuvcc2e7" w:colFirst="0" w:colLast="0"/>
      <w:bookmarkEnd w:id="10"/>
      <w:r>
        <w:t>UNIDAD IX.</w:t>
      </w:r>
    </w:p>
    <w:p w:rsidR="00F109E0" w:rsidRDefault="00C233FD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Materiales para reemplazo de tejidos duros. Materiales para tejidos blandos. Ensayos químicos y</w:t>
      </w:r>
      <w:r>
        <w:rPr>
          <w:rFonts w:ascii="Roboto" w:eastAsia="Roboto" w:hAnsi="Roboto" w:cs="Roboto"/>
        </w:rPr>
        <w:t xml:space="preserve"> mecánicos de materiales y dispositivos. Normas ISO. Actividades de la FDA y organización de la </w:t>
      </w:r>
      <w:r>
        <w:rPr>
          <w:rFonts w:ascii="Roboto" w:eastAsia="Roboto" w:hAnsi="Roboto" w:cs="Roboto"/>
        </w:rPr>
        <w:lastRenderedPageBreak/>
        <w:t>Unión Europea. Diseño de dispositivos: Análisis de riesgo. Verificación de diseño. Validación de protocolos. Cuestiones éticas.</w:t>
      </w:r>
    </w:p>
    <w:p w:rsidR="00F109E0" w:rsidRDefault="00C233FD">
      <w:pPr>
        <w:pStyle w:val="Ttulo2"/>
      </w:pPr>
      <w:bookmarkStart w:id="11" w:name="_5ts89gu6sbfc" w:colFirst="0" w:colLast="0"/>
      <w:bookmarkEnd w:id="11"/>
      <w:r>
        <w:t>BIBLIOGRAFÍA</w:t>
      </w:r>
    </w:p>
    <w:p w:rsidR="00F109E0" w:rsidRDefault="00C233FD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"Degradable Polymer</w:t>
      </w:r>
      <w:r>
        <w:rPr>
          <w:rFonts w:ascii="Roboto" w:eastAsia="Roboto" w:hAnsi="Roboto" w:cs="Roboto"/>
        </w:rPr>
        <w:t>s, Recycling and Plastics Waste Management" Albertsson A-C &amp; Huang S J, Ed., Marcel Dekker, Inc (1995)</w:t>
      </w:r>
    </w:p>
    <w:p w:rsidR="00F109E0" w:rsidRDefault="00C233FD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"Biomaterials Science: An introduction to materials in medicine", Editores: B. D. Ratner, A. S. Hoffman, F. J. Schoen y J. E. Lemons, Academic Press. 1ra</w:t>
      </w:r>
      <w:r>
        <w:rPr>
          <w:rFonts w:ascii="Roboto" w:eastAsia="Roboto" w:hAnsi="Roboto" w:cs="Roboto"/>
        </w:rPr>
        <w:t xml:space="preserve"> edición 1996, ISBN 0-12-582460-2. 2da edición 2004, ISBN 0-12-5824637.</w:t>
      </w:r>
    </w:p>
    <w:p w:rsidR="00F109E0" w:rsidRDefault="00C233FD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"Biomateriales", Editores: R. Sastre, S. de Aza, J. San Román, Faenza Editrice Ibérica s.l., Faenza, RA, Italia. .ISBN: 84-87683-26-6. 522 p., 2004.</w:t>
      </w:r>
    </w:p>
    <w:p w:rsidR="00F109E0" w:rsidRDefault="00C233FD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"Ciencia y Tecnología de Materiales</w:t>
      </w:r>
      <w:r>
        <w:rPr>
          <w:rFonts w:ascii="Roboto" w:eastAsia="Roboto" w:hAnsi="Roboto" w:cs="Roboto"/>
        </w:rPr>
        <w:t xml:space="preserve"> Poliméricos", editores L. Garrido y C. Marco, Instituto de Ciencia y Tecnología de Polímeros, CSIC-España. ISBN (obra completa) 84-609-0966-2, 2 volúmenes, 1224 páginas, 2004.</w:t>
      </w:r>
    </w:p>
    <w:p w:rsidR="00F109E0" w:rsidRDefault="00C233FD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"Biodegradable Systems in Tissue Engineering and Regenerative" Medicine", Edito</w:t>
      </w:r>
      <w:r>
        <w:rPr>
          <w:rFonts w:ascii="Roboto" w:eastAsia="Roboto" w:hAnsi="Roboto" w:cs="Roboto"/>
        </w:rPr>
        <w:t>res: Rui L Reis, University of Minho - 3B's Research Group, Braga, Portugal y Julio San Román Instituto de Ciencia y Tecnología de Polímeros, España. CRC Press, Boca Raton, FL.c. 632 pp. Noviembre, 2005. ISBN: 0-8493-1936-6.</w:t>
      </w:r>
    </w:p>
    <w:p w:rsidR="00F109E0" w:rsidRDefault="00C233FD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"</w:t>
      </w:r>
      <w:r>
        <w:rPr>
          <w:rFonts w:ascii="Roboto" w:eastAsia="Roboto" w:hAnsi="Roboto" w:cs="Roboto"/>
        </w:rPr>
        <w:t>Scaffolding in Tissue Engineering", Peter X. Ma y Jennifer Elisseeff. CRC Press 2005.</w:t>
      </w:r>
    </w:p>
    <w:p w:rsidR="00F109E0" w:rsidRDefault="00C233FD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"High Performance Biomaterials", Ed. M.Szycher, Technomic Publishing Co.Inc., ISBN 87762-775-4, 1991.</w:t>
      </w:r>
    </w:p>
    <w:p w:rsidR="00F109E0" w:rsidRDefault="00C233FD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"Biological Performance of materials. Fundamentals of Biocompatibili</w:t>
      </w:r>
      <w:r>
        <w:rPr>
          <w:rFonts w:ascii="Roboto" w:eastAsia="Roboto" w:hAnsi="Roboto" w:cs="Roboto"/>
        </w:rPr>
        <w:t>ty", Jonathan Black, Marcel Dekker Inc., USA. 1992. ISBN 0-8247-8439-1</w:t>
      </w:r>
    </w:p>
    <w:p w:rsidR="00F109E0" w:rsidRDefault="00C233FD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"Biomaterials Science and Engineering", Joon Bu Park, Plenum Press Inc., 1984.</w:t>
      </w:r>
    </w:p>
    <w:p w:rsidR="00F109E0" w:rsidRDefault="00C233FD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"Biomaterials an interfacial approach", L.L.Hench y E.C.Ethridge, Academic Press, 1982.</w:t>
      </w:r>
    </w:p>
    <w:p w:rsidR="00F109E0" w:rsidRDefault="00C233FD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"Metal and Ceramic</w:t>
      </w:r>
      <w:r>
        <w:rPr>
          <w:rFonts w:ascii="Roboto" w:eastAsia="Roboto" w:hAnsi="Roboto" w:cs="Roboto"/>
        </w:rPr>
        <w:t xml:space="preserve"> Biomaterials", Vol.1: Structure. Vol.2: Strength and surface. P. Duckeyne, G. Hasting. CRC Press Inc., USA. 1984.</w:t>
      </w:r>
    </w:p>
    <w:p w:rsidR="00F109E0" w:rsidRDefault="00C233FD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"An introduction to bioceramics", L.L.Hench y J. Wilson. World Scientific, Singapore. 1993.</w:t>
      </w:r>
    </w:p>
    <w:p w:rsidR="00F109E0" w:rsidRDefault="00C233FD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"Blood compatible Materials Devices, perspectives</w:t>
      </w:r>
      <w:r>
        <w:rPr>
          <w:rFonts w:ascii="Roboto" w:eastAsia="Roboto" w:hAnsi="Roboto" w:cs="Roboto"/>
        </w:rPr>
        <w:t xml:space="preserve"> towards the 21st century". Eds. Chandra P. Sharma y Michael Szycher, Technomic Publishing Co. Inc., 1991, ISBN 87762-733-9</w:t>
      </w:r>
    </w:p>
    <w:p w:rsidR="00F109E0" w:rsidRDefault="00C233FD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"Introduction to sterilization, disinfection and infection control", Joan F.Gardner y Margaret M.Peel, Churchil Livingsone, 1991.</w:t>
      </w:r>
    </w:p>
    <w:p w:rsidR="00F109E0" w:rsidRDefault="00C233FD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"I</w:t>
      </w:r>
      <w:r>
        <w:rPr>
          <w:rFonts w:ascii="Roboto" w:eastAsia="Roboto" w:hAnsi="Roboto" w:cs="Roboto"/>
        </w:rPr>
        <w:t>maging Techniques in Biomaterials", Ed. M.A.Barbosa y A. Campilho, North Holland, Elsevier Science B.V., 1994. ISBN 0-444-897747.</w:t>
      </w:r>
    </w:p>
    <w:p w:rsidR="00F109E0" w:rsidRDefault="00C233FD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"Polymeric Biomaterials", Ed.Severian Dimitriu, Marcel Dekker Inc., 1994, ISBN 0-8247 8969-5.</w:t>
      </w:r>
    </w:p>
    <w:p w:rsidR="00F109E0" w:rsidRDefault="00C233FD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lastRenderedPageBreak/>
        <w:t>"Biomaterials medical devices an</w:t>
      </w:r>
      <w:r>
        <w:rPr>
          <w:rFonts w:ascii="Roboto" w:eastAsia="Roboto" w:hAnsi="Roboto" w:cs="Roboto"/>
        </w:rPr>
        <w:t>d tissue engineering", F.H. Silver, Chapman Hall, 1994. ISBN 0412-412608.</w:t>
      </w:r>
    </w:p>
    <w:p w:rsidR="00F109E0" w:rsidRDefault="00C233FD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"Reconstructing the Body" Vol.I: Implants in surgery. Vol.II: Biomaterials and Tissue Engineering for the 21st Century. D.F. Williams. Liverpool University Press. 2000. United Kingdo</w:t>
      </w:r>
      <w:r>
        <w:rPr>
          <w:rFonts w:ascii="Roboto" w:eastAsia="Roboto" w:hAnsi="Roboto" w:cs="Roboto"/>
        </w:rPr>
        <w:t>m . ISBN 0-85323-675-5.</w:t>
      </w:r>
    </w:p>
    <w:p w:rsidR="00F109E0" w:rsidRDefault="00C233FD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"The Williams Dictionary of Biomaterials", D.F.Williams. Liverpool University Press. United Kingdom. 1999. ISBN 0-85323-921-5.</w:t>
      </w:r>
    </w:p>
    <w:p w:rsidR="00F109E0" w:rsidRDefault="00C233FD">
      <w:pPr>
        <w:numPr>
          <w:ilvl w:val="0"/>
          <w:numId w:val="1"/>
        </w:numPr>
        <w:spacing w:after="80" w:line="273" w:lineRule="auto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"Principles of Tissue Engineering", Second Edition. Ed. R.P.Lanza, R.Langer y J.Vacanti, Academic Press. </w:t>
      </w:r>
      <w:r>
        <w:rPr>
          <w:rFonts w:ascii="Roboto" w:eastAsia="Roboto" w:hAnsi="Roboto" w:cs="Roboto"/>
        </w:rPr>
        <w:t>2000. ISBN 0-12-436630-9.</w:t>
      </w:r>
    </w:p>
    <w:p w:rsidR="00F109E0" w:rsidRDefault="00F109E0">
      <w:pPr>
        <w:spacing w:after="80" w:line="273" w:lineRule="auto"/>
        <w:ind w:left="720"/>
        <w:rPr>
          <w:rFonts w:ascii="Roboto" w:eastAsia="Roboto" w:hAnsi="Roboto" w:cs="Roboto"/>
        </w:rPr>
      </w:pPr>
    </w:p>
    <w:sectPr w:rsidR="00F109E0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3" w:right="1133" w:bottom="1133" w:left="1133" w:header="566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33FD" w:rsidRDefault="00C233FD">
      <w:pPr>
        <w:spacing w:line="240" w:lineRule="auto"/>
      </w:pPr>
      <w:r>
        <w:separator/>
      </w:r>
    </w:p>
  </w:endnote>
  <w:endnote w:type="continuationSeparator" w:id="0">
    <w:p w:rsidR="00C233FD" w:rsidRDefault="00C233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EF" w:usb1="5000205B" w:usb2="00000020" w:usb3="00000000" w:csb0="0000019F" w:csb1="00000000"/>
  </w:font>
  <w:font w:name="Lora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09E0" w:rsidRDefault="00C233FD">
    <w:pPr>
      <w:jc w:val="right"/>
      <w:rPr>
        <w:rFonts w:ascii="Roboto" w:eastAsia="Roboto" w:hAnsi="Roboto" w:cs="Roboto"/>
        <w:color w:val="16A085"/>
      </w:rPr>
    </w:pPr>
    <w:r>
      <w:rPr>
        <w:rFonts w:ascii="Roboto" w:eastAsia="Roboto" w:hAnsi="Roboto" w:cs="Roboto"/>
        <w:color w:val="16A085"/>
      </w:rPr>
      <w:fldChar w:fldCharType="begin"/>
    </w:r>
    <w:r>
      <w:rPr>
        <w:rFonts w:ascii="Roboto" w:eastAsia="Roboto" w:hAnsi="Roboto" w:cs="Roboto"/>
        <w:color w:val="16A085"/>
      </w:rPr>
      <w:instrText>PAGE</w:instrText>
    </w:r>
    <w:r w:rsidR="00770E19">
      <w:rPr>
        <w:rFonts w:ascii="Roboto" w:eastAsia="Roboto" w:hAnsi="Roboto" w:cs="Roboto"/>
        <w:color w:val="16A085"/>
      </w:rPr>
      <w:fldChar w:fldCharType="separate"/>
    </w:r>
    <w:r w:rsidR="00770E19">
      <w:rPr>
        <w:rFonts w:ascii="Roboto" w:eastAsia="Roboto" w:hAnsi="Roboto" w:cs="Roboto"/>
        <w:noProof/>
        <w:color w:val="16A085"/>
      </w:rPr>
      <w:t>1</w:t>
    </w:r>
    <w:r>
      <w:rPr>
        <w:rFonts w:ascii="Roboto" w:eastAsia="Roboto" w:hAnsi="Roboto" w:cs="Roboto"/>
        <w:color w:val="16A08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09E0" w:rsidRDefault="00C233FD">
    <w:pPr>
      <w:jc w:val="right"/>
      <w:rPr>
        <w:color w:val="16A085"/>
      </w:rPr>
    </w:pPr>
    <w:r>
      <w:rPr>
        <w:color w:val="16A085"/>
      </w:rPr>
      <w:fldChar w:fldCharType="begin"/>
    </w:r>
    <w:r>
      <w:rPr>
        <w:color w:val="16A085"/>
      </w:rPr>
      <w:instrText>PAGE</w:instrText>
    </w:r>
    <w:r>
      <w:rPr>
        <w:color w:val="16A08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33FD" w:rsidRDefault="00C233FD">
      <w:pPr>
        <w:spacing w:line="240" w:lineRule="auto"/>
      </w:pPr>
      <w:r>
        <w:separator/>
      </w:r>
    </w:p>
  </w:footnote>
  <w:footnote w:type="continuationSeparator" w:id="0">
    <w:p w:rsidR="00C233FD" w:rsidRDefault="00C233F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09E0" w:rsidRDefault="00F109E0">
    <w:pPr>
      <w:spacing w:line="240" w:lineRule="auto"/>
      <w:rPr>
        <w:rFonts w:ascii="Roboto" w:eastAsia="Roboto" w:hAnsi="Roboto" w:cs="Roboto"/>
        <w:sz w:val="4"/>
        <w:szCs w:val="4"/>
      </w:rPr>
    </w:pPr>
  </w:p>
  <w:tbl>
    <w:tblPr>
      <w:tblStyle w:val="a0"/>
      <w:tblW w:w="9630" w:type="dxa"/>
      <w:jc w:val="center"/>
      <w:tblInd w:w="0" w:type="dxa"/>
      <w:tblLayout w:type="fixed"/>
      <w:tblLook w:val="0600" w:firstRow="0" w:lastRow="0" w:firstColumn="0" w:lastColumn="0" w:noHBand="1" w:noVBand="1"/>
    </w:tblPr>
    <w:tblGrid>
      <w:gridCol w:w="1245"/>
      <w:gridCol w:w="2550"/>
      <w:gridCol w:w="1275"/>
      <w:gridCol w:w="1350"/>
      <w:gridCol w:w="1230"/>
      <w:gridCol w:w="1980"/>
    </w:tblGrid>
    <w:tr w:rsidR="00F109E0">
      <w:trPr>
        <w:trHeight w:val="1140"/>
        <w:jc w:val="center"/>
      </w:trPr>
      <w:tc>
        <w:tcPr>
          <w:tcW w:w="1245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F109E0" w:rsidRDefault="00C233FD">
          <w:pPr>
            <w:spacing w:after="40" w:line="264" w:lineRule="auto"/>
            <w:jc w:val="left"/>
            <w:rPr>
              <w:rFonts w:ascii="Lora" w:eastAsia="Lora" w:hAnsi="Lora" w:cs="Lora"/>
              <w:b/>
              <w:sz w:val="18"/>
              <w:szCs w:val="18"/>
            </w:rPr>
          </w:pPr>
          <w:r>
            <w:rPr>
              <w:rFonts w:ascii="Lora" w:eastAsia="Lora" w:hAnsi="Lora" w:cs="Lora"/>
              <w:b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762000" cy="617175"/>
                <wp:effectExtent l="0" t="0" r="0" b="0"/>
                <wp:docPr id="1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t="9031" b="974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0" cy="6171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F109E0" w:rsidRDefault="00C233F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Departamento de Ingeniería Química y en Alimentos</w:t>
          </w:r>
        </w:p>
      </w:tc>
      <w:tc>
        <w:tcPr>
          <w:tcW w:w="1275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F109E0" w:rsidRDefault="00C233FD">
          <w:pPr>
            <w:spacing w:after="40" w:line="264" w:lineRule="auto"/>
            <w:jc w:val="right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819150" cy="642938"/>
                <wp:effectExtent l="0" t="0" r="0" b="0"/>
                <wp:docPr id="2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 t="12790" b="872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6429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5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F109E0" w:rsidRDefault="00C233F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Facultad de Ingeniería</w:t>
          </w:r>
        </w:p>
      </w:tc>
      <w:tc>
        <w:tcPr>
          <w:tcW w:w="123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F109E0" w:rsidRDefault="00C233FD">
          <w:pPr>
            <w:spacing w:after="40" w:line="264" w:lineRule="auto"/>
            <w:jc w:val="right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noProof/>
              <w:sz w:val="18"/>
              <w:szCs w:val="18"/>
              <w:lang w:val="en-US"/>
            </w:rPr>
            <w:drawing>
              <wp:inline distT="114300" distB="114300" distL="114300" distR="114300">
                <wp:extent cx="544875" cy="544875"/>
                <wp:effectExtent l="0" t="0" r="0" b="0"/>
                <wp:docPr id="3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875" cy="5448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0" w:type="dxa"/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F109E0" w:rsidRDefault="00C233F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40" w:line="264" w:lineRule="auto"/>
            <w:jc w:val="center"/>
            <w:rPr>
              <w:rFonts w:ascii="Lora" w:eastAsia="Lora" w:hAnsi="Lora" w:cs="Lora"/>
              <w:sz w:val="18"/>
              <w:szCs w:val="18"/>
            </w:rPr>
          </w:pPr>
          <w:r>
            <w:rPr>
              <w:rFonts w:ascii="Lora" w:eastAsia="Lora" w:hAnsi="Lora" w:cs="Lora"/>
              <w:sz w:val="18"/>
              <w:szCs w:val="18"/>
            </w:rPr>
            <w:t>Universidad Nacional de Mar del Plata</w:t>
          </w:r>
        </w:p>
      </w:tc>
    </w:tr>
  </w:tbl>
  <w:p w:rsidR="00F109E0" w:rsidRDefault="00C233FD">
    <w:pPr>
      <w:spacing w:line="240" w:lineRule="auto"/>
    </w:pPr>
    <w:r>
      <w:pict>
        <v:rect id="_x0000_i1026" style="width:0;height:1.5pt" o:hralign="center" o:hrstd="t" o:hr="t" fillcolor="#a0a0a0" stroked="f"/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09E0" w:rsidRDefault="00F109E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740FA3"/>
    <w:multiLevelType w:val="multilevel"/>
    <w:tmpl w:val="45C02E94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9E0"/>
    <w:rsid w:val="00770E19"/>
    <w:rsid w:val="00C233FD"/>
    <w:rsid w:val="00F10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247BD97-BACC-46B8-83A9-62E04872D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jc w:val="center"/>
      <w:outlineLvl w:val="0"/>
    </w:pPr>
    <w:rPr>
      <w:rFonts w:ascii="Roboto" w:eastAsia="Roboto" w:hAnsi="Roboto" w:cs="Roboto"/>
      <w:b/>
      <w:color w:val="16A085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200" w:after="40" w:line="271" w:lineRule="auto"/>
      <w:outlineLvl w:val="1"/>
    </w:pPr>
    <w:rPr>
      <w:rFonts w:ascii="Roboto" w:eastAsia="Roboto" w:hAnsi="Roboto" w:cs="Roboto"/>
      <w:b/>
      <w:color w:val="16A085"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1169</Words>
  <Characters>6665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</dc:creator>
  <cp:lastModifiedBy>Ju</cp:lastModifiedBy>
  <cp:revision>2</cp:revision>
  <dcterms:created xsi:type="dcterms:W3CDTF">2019-03-10T21:34:00Z</dcterms:created>
  <dcterms:modified xsi:type="dcterms:W3CDTF">2019-03-10T21:34:00Z</dcterms:modified>
</cp:coreProperties>
</file>