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>
          <w:rFonts w:ascii="Roboto" w:cs="Roboto" w:eastAsia="Roboto" w:hAnsi="Roboto"/>
          <w:sz w:val="16"/>
          <w:szCs w:val="16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630.0" w:type="dxa"/>
        <w:jc w:val="center"/>
        <w:tblLayout w:type="fixed"/>
        <w:tblLook w:val="0600"/>
      </w:tblPr>
      <w:tblGrid>
        <w:gridCol w:w="1710"/>
        <w:gridCol w:w="5865"/>
        <w:gridCol w:w="855"/>
        <w:gridCol w:w="1200"/>
        <w:tblGridChange w:id="0">
          <w:tblGrid>
            <w:gridCol w:w="1710"/>
            <w:gridCol w:w="5865"/>
            <w:gridCol w:w="855"/>
            <w:gridCol w:w="1200"/>
          </w:tblGrid>
        </w:tblGridChange>
      </w:tblGrid>
      <w:tr>
        <w:tc>
          <w:tcPr>
            <w:shd w:fill="auto" w:val="clear"/>
            <w:tcMar>
              <w:top w:w="51.0236220472441" w:type="dxa"/>
              <w:left w:w="51.0236220472441" w:type="dxa"/>
              <w:bottom w:w="51.0236220472441" w:type="dxa"/>
              <w:right w:w="51.0236220472441" w:type="dxa"/>
            </w:tcMar>
            <w:vAlign w:val="center"/>
          </w:tcPr>
          <w:p w:rsidR="00000000" w:rsidDel="00000000" w:rsidP="00000000" w:rsidRDefault="00000000" w:rsidRPr="00000000" w14:paraId="00000002">
            <w:pPr>
              <w:jc w:val="right"/>
              <w:rPr>
                <w:rFonts w:ascii="Roboto" w:cs="Roboto" w:eastAsia="Roboto" w:hAnsi="Roboto"/>
                <w:b w:val="1"/>
                <w:color w:val="16a08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color w:val="16a085"/>
                <w:sz w:val="24"/>
                <w:szCs w:val="24"/>
                <w:rtl w:val="0"/>
              </w:rPr>
              <w:t xml:space="preserve">CARRERA</w:t>
            </w:r>
          </w:p>
        </w:tc>
        <w:tc>
          <w:tcPr>
            <w:shd w:fill="auto" w:val="clear"/>
            <w:tcMar>
              <w:top w:w="51.0236220472441" w:type="dxa"/>
              <w:left w:w="51.0236220472441" w:type="dxa"/>
              <w:bottom w:w="51.0236220472441" w:type="dxa"/>
              <w:right w:w="51.0236220472441" w:type="dxa"/>
            </w:tcMar>
            <w:vAlign w:val="center"/>
          </w:tcPr>
          <w:p w:rsidR="00000000" w:rsidDel="00000000" w:rsidP="00000000" w:rsidRDefault="00000000" w:rsidRPr="00000000" w14:paraId="0000000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sz w:val="24"/>
                <w:szCs w:val="24"/>
                <w:rtl w:val="0"/>
              </w:rPr>
              <w:t xml:space="preserve">Ingeniería Química</w:t>
            </w:r>
          </w:p>
        </w:tc>
        <w:tc>
          <w:tcPr>
            <w:shd w:fill="auto" w:val="clear"/>
            <w:tcMar>
              <w:top w:w="51.0236220472441" w:type="dxa"/>
              <w:left w:w="51.0236220472441" w:type="dxa"/>
              <w:bottom w:w="51.0236220472441" w:type="dxa"/>
              <w:right w:w="51.0236220472441" w:type="dxa"/>
            </w:tcMar>
            <w:vAlign w:val="center"/>
          </w:tcPr>
          <w:p w:rsidR="00000000" w:rsidDel="00000000" w:rsidP="00000000" w:rsidRDefault="00000000" w:rsidRPr="00000000" w14:paraId="00000004">
            <w:pPr>
              <w:jc w:val="right"/>
              <w:rPr>
                <w:rFonts w:ascii="Roboto" w:cs="Roboto" w:eastAsia="Roboto" w:hAnsi="Roboto"/>
                <w:b w:val="1"/>
                <w:color w:val="16a08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color w:val="16a085"/>
                <w:sz w:val="24"/>
                <w:szCs w:val="24"/>
                <w:rtl w:val="0"/>
              </w:rPr>
              <w:t xml:space="preserve">PLAN</w:t>
            </w:r>
          </w:p>
        </w:tc>
        <w:tc>
          <w:tcPr>
            <w:shd w:fill="auto" w:val="clear"/>
            <w:tcMar>
              <w:top w:w="51.0236220472441" w:type="dxa"/>
              <w:left w:w="51.0236220472441" w:type="dxa"/>
              <w:bottom w:w="51.0236220472441" w:type="dxa"/>
              <w:right w:w="51.0236220472441" w:type="dxa"/>
            </w:tcMar>
            <w:vAlign w:val="center"/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sz w:val="24"/>
                <w:szCs w:val="24"/>
                <w:rtl w:val="0"/>
              </w:rPr>
              <w:t xml:space="preserve">2003</w:t>
            </w:r>
          </w:p>
        </w:tc>
      </w:tr>
      <w:tr>
        <w:tc>
          <w:tcPr>
            <w:shd w:fill="auto" w:val="clear"/>
            <w:tcMar>
              <w:top w:w="51.0236220472441" w:type="dxa"/>
              <w:left w:w="51.0236220472441" w:type="dxa"/>
              <w:bottom w:w="51.0236220472441" w:type="dxa"/>
              <w:right w:w="51.0236220472441" w:type="dxa"/>
            </w:tcMar>
            <w:vAlign w:val="center"/>
          </w:tcPr>
          <w:p w:rsidR="00000000" w:rsidDel="00000000" w:rsidP="00000000" w:rsidRDefault="00000000" w:rsidRPr="00000000" w14:paraId="00000006">
            <w:pPr>
              <w:jc w:val="right"/>
              <w:rPr>
                <w:rFonts w:ascii="Roboto" w:cs="Roboto" w:eastAsia="Roboto" w:hAnsi="Roboto"/>
                <w:b w:val="1"/>
                <w:color w:val="16a08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color w:val="16a085"/>
                <w:sz w:val="24"/>
                <w:szCs w:val="24"/>
                <w:rtl w:val="0"/>
              </w:rPr>
              <w:t xml:space="preserve">ASIGNATURA</w:t>
            </w:r>
          </w:p>
        </w:tc>
        <w:tc>
          <w:tcPr>
            <w:shd w:fill="auto" w:val="clear"/>
            <w:tcMar>
              <w:top w:w="51.0236220472441" w:type="dxa"/>
              <w:left w:w="51.0236220472441" w:type="dxa"/>
              <w:bottom w:w="51.0236220472441" w:type="dxa"/>
              <w:right w:w="51.0236220472441" w:type="dxa"/>
            </w:tcMar>
            <w:vAlign w:val="center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sz w:val="24"/>
                <w:szCs w:val="24"/>
                <w:rtl w:val="0"/>
              </w:rPr>
              <w:t xml:space="preserve">Sistemas de Representación</w:t>
            </w:r>
          </w:p>
        </w:tc>
        <w:tc>
          <w:tcPr>
            <w:shd w:fill="auto" w:val="clear"/>
            <w:tcMar>
              <w:top w:w="51.0236220472441" w:type="dxa"/>
              <w:left w:w="51.0236220472441" w:type="dxa"/>
              <w:bottom w:w="51.0236220472441" w:type="dxa"/>
              <w:right w:w="51.0236220472441" w:type="dxa"/>
            </w:tcMar>
            <w:vAlign w:val="center"/>
          </w:tcPr>
          <w:p w:rsidR="00000000" w:rsidDel="00000000" w:rsidP="00000000" w:rsidRDefault="00000000" w:rsidRPr="00000000" w14:paraId="00000008">
            <w:pPr>
              <w:jc w:val="right"/>
              <w:rPr>
                <w:rFonts w:ascii="Roboto" w:cs="Roboto" w:eastAsia="Roboto" w:hAnsi="Roboto"/>
                <w:b w:val="1"/>
                <w:color w:val="16a08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color w:val="16a085"/>
                <w:sz w:val="24"/>
                <w:szCs w:val="24"/>
                <w:rtl w:val="0"/>
              </w:rPr>
              <w:t xml:space="preserve">COD.</w:t>
            </w:r>
          </w:p>
        </w:tc>
        <w:tc>
          <w:tcPr>
            <w:shd w:fill="auto" w:val="clear"/>
            <w:tcMar>
              <w:top w:w="51.0236220472441" w:type="dxa"/>
              <w:left w:w="51.0236220472441" w:type="dxa"/>
              <w:bottom w:w="51.0236220472441" w:type="dxa"/>
              <w:right w:w="51.0236220472441" w:type="dxa"/>
            </w:tcMar>
            <w:vAlign w:val="center"/>
          </w:tcPr>
          <w:p w:rsidR="00000000" w:rsidDel="00000000" w:rsidP="00000000" w:rsidRDefault="00000000" w:rsidRPr="00000000" w14:paraId="00000009">
            <w:pPr>
              <w:widowControl w:val="0"/>
              <w:spacing w:line="240" w:lineRule="auto"/>
              <w:jc w:val="left"/>
              <w:rPr>
                <w:rFonts w:ascii="Roboto" w:cs="Roboto" w:eastAsia="Roboto" w:hAnsi="Roboto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sz w:val="24"/>
                <w:szCs w:val="24"/>
                <w:rtl w:val="0"/>
              </w:rPr>
              <w:t xml:space="preserve">2C1</w:t>
            </w:r>
          </w:p>
        </w:tc>
      </w:tr>
      <w:tr>
        <w:tc>
          <w:tcPr>
            <w:shd w:fill="auto" w:val="clear"/>
            <w:tcMar>
              <w:top w:w="51.0236220472441" w:type="dxa"/>
              <w:left w:w="51.0236220472441" w:type="dxa"/>
              <w:bottom w:w="51.0236220472441" w:type="dxa"/>
              <w:right w:w="51.0236220472441" w:type="dxa"/>
            </w:tcMar>
            <w:vAlign w:val="center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Roboto" w:cs="Roboto" w:eastAsia="Roboto" w:hAnsi="Roboto"/>
                <w:b w:val="1"/>
                <w:color w:val="16a08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color w:val="16a085"/>
                <w:sz w:val="24"/>
                <w:szCs w:val="24"/>
                <w:rtl w:val="0"/>
              </w:rPr>
              <w:t xml:space="preserve">TIPO</w:t>
            </w:r>
          </w:p>
        </w:tc>
        <w:tc>
          <w:tcPr>
            <w:shd w:fill="auto" w:val="clear"/>
            <w:tcMar>
              <w:top w:w="51.0236220472441" w:type="dxa"/>
              <w:left w:w="51.0236220472441" w:type="dxa"/>
              <w:bottom w:w="51.0236220472441" w:type="dxa"/>
              <w:right w:w="51.0236220472441" w:type="dxa"/>
            </w:tcMar>
            <w:vAlign w:val="center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sz w:val="24"/>
                <w:szCs w:val="24"/>
                <w:rtl w:val="0"/>
              </w:rPr>
              <w:t xml:space="preserve">Obligatoria</w:t>
            </w:r>
          </w:p>
        </w:tc>
        <w:tc>
          <w:tcPr>
            <w:shd w:fill="auto" w:val="clear"/>
            <w:tcMar>
              <w:top w:w="51.0236220472441" w:type="dxa"/>
              <w:left w:w="51.0236220472441" w:type="dxa"/>
              <w:bottom w:w="51.0236220472441" w:type="dxa"/>
              <w:right w:w="51.0236220472441" w:type="dxa"/>
            </w:tcMar>
            <w:vAlign w:val="center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51.0236220472441" w:type="dxa"/>
              <w:left w:w="51.0236220472441" w:type="dxa"/>
              <w:bottom w:w="51.0236220472441" w:type="dxa"/>
              <w:right w:w="51.0236220472441" w:type="dxa"/>
            </w:tcMar>
            <w:vAlign w:val="center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E">
      <w:pPr>
        <w:rPr>
          <w:rFonts w:ascii="Roboto" w:cs="Roboto" w:eastAsia="Roboto" w:hAnsi="Roboto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Style w:val="Heading1"/>
        <w:rPr>
          <w:sz w:val="32"/>
          <w:szCs w:val="32"/>
        </w:rPr>
      </w:pPr>
      <w:bookmarkStart w:colFirst="0" w:colLast="0" w:name="_nddimbltco0o" w:id="0"/>
      <w:bookmarkEnd w:id="0"/>
      <w:r w:rsidDel="00000000" w:rsidR="00000000" w:rsidRPr="00000000">
        <w:rPr>
          <w:rtl w:val="0"/>
        </w:rPr>
        <w:t xml:space="preserve">PROGRAMA ANALÍTICO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jc w:val="center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(A partir del Ciclo Lectivo 2017)</w:t>
      </w:r>
    </w:p>
    <w:p w:rsidR="00000000" w:rsidDel="00000000" w:rsidP="00000000" w:rsidRDefault="00000000" w:rsidRPr="00000000" w14:paraId="00000011">
      <w:pPr>
        <w:pStyle w:val="Heading2"/>
        <w:rPr/>
      </w:pPr>
      <w:bookmarkStart w:colFirst="0" w:colLast="0" w:name="_cvz56wqdngx1" w:id="1"/>
      <w:bookmarkEnd w:id="1"/>
      <w:r w:rsidDel="00000000" w:rsidR="00000000" w:rsidRPr="00000000">
        <w:rPr>
          <w:rtl w:val="0"/>
        </w:rPr>
        <w:t xml:space="preserve">TEMA 1</w:t>
      </w:r>
    </w:p>
    <w:p w:rsidR="00000000" w:rsidDel="00000000" w:rsidP="00000000" w:rsidRDefault="00000000" w:rsidRPr="00000000" w14:paraId="00000012">
      <w:pPr>
        <w:ind w:left="0" w:firstLine="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Introducción al dibujo.</w:t>
      </w:r>
    </w:p>
    <w:p w:rsidR="00000000" w:rsidDel="00000000" w:rsidP="00000000" w:rsidRDefault="00000000" w:rsidRPr="00000000" w14:paraId="00000013">
      <w:pPr>
        <w:pStyle w:val="Heading2"/>
        <w:rPr>
          <w:rFonts w:ascii="Roboto" w:cs="Roboto" w:eastAsia="Roboto" w:hAnsi="Roboto"/>
        </w:rPr>
      </w:pPr>
      <w:bookmarkStart w:colFirst="0" w:colLast="0" w:name="_v992tomd5jr4" w:id="2"/>
      <w:bookmarkEnd w:id="2"/>
      <w:r w:rsidDel="00000000" w:rsidR="00000000" w:rsidRPr="00000000">
        <w:rPr>
          <w:rtl w:val="0"/>
        </w:rPr>
        <w:t xml:space="preserve">TEMA 2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ind w:left="0" w:firstLine="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El lenguaje Técnico-Gráfico. Letras. Números. Márgenes. Rótulo. Proyecciones</w:t>
      </w:r>
    </w:p>
    <w:p w:rsidR="00000000" w:rsidDel="00000000" w:rsidP="00000000" w:rsidRDefault="00000000" w:rsidRPr="00000000" w14:paraId="00000015">
      <w:pPr>
        <w:pStyle w:val="Heading2"/>
        <w:rPr>
          <w:rFonts w:ascii="Roboto" w:cs="Roboto" w:eastAsia="Roboto" w:hAnsi="Roboto"/>
        </w:rPr>
      </w:pPr>
      <w:bookmarkStart w:colFirst="0" w:colLast="0" w:name="_po91m55chh56" w:id="3"/>
      <w:bookmarkEnd w:id="3"/>
      <w:r w:rsidDel="00000000" w:rsidR="00000000" w:rsidRPr="00000000">
        <w:rPr>
          <w:rtl w:val="0"/>
        </w:rPr>
        <w:t xml:space="preserve">TEMA 3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ind w:left="0" w:firstLine="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ISO (E). Interpretación de Dibujos de Cuerpos Macizos Sencillos.</w:t>
      </w:r>
    </w:p>
    <w:p w:rsidR="00000000" w:rsidDel="00000000" w:rsidP="00000000" w:rsidRDefault="00000000" w:rsidRPr="00000000" w14:paraId="00000017">
      <w:pPr>
        <w:pStyle w:val="Heading2"/>
        <w:rPr>
          <w:rFonts w:ascii="Roboto" w:cs="Roboto" w:eastAsia="Roboto" w:hAnsi="Roboto"/>
        </w:rPr>
      </w:pPr>
      <w:bookmarkStart w:colFirst="0" w:colLast="0" w:name="_qfuxduaur27a" w:id="4"/>
      <w:bookmarkEnd w:id="4"/>
      <w:r w:rsidDel="00000000" w:rsidR="00000000" w:rsidRPr="00000000">
        <w:rPr>
          <w:rtl w:val="0"/>
        </w:rPr>
        <w:t xml:space="preserve">TEMA 4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ind w:left="0" w:firstLine="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Representación. Piezas.</w:t>
      </w:r>
    </w:p>
    <w:p w:rsidR="00000000" w:rsidDel="00000000" w:rsidP="00000000" w:rsidRDefault="00000000" w:rsidRPr="00000000" w14:paraId="00000019">
      <w:pPr>
        <w:pStyle w:val="Heading2"/>
        <w:rPr/>
      </w:pPr>
      <w:bookmarkStart w:colFirst="0" w:colLast="0" w:name="_ainu1dia6b50" w:id="5"/>
      <w:bookmarkEnd w:id="5"/>
      <w:r w:rsidDel="00000000" w:rsidR="00000000" w:rsidRPr="00000000">
        <w:rPr>
          <w:rtl w:val="0"/>
        </w:rPr>
        <w:t xml:space="preserve">TEMA 5</w:t>
      </w:r>
    </w:p>
    <w:p w:rsidR="00000000" w:rsidDel="00000000" w:rsidP="00000000" w:rsidRDefault="00000000" w:rsidRPr="00000000" w14:paraId="0000001A">
      <w:pPr>
        <w:ind w:left="0" w:firstLine="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Sistemas de Acotación. Croquizado. Sistemas normalizados. Interpretación de dibujos de cuerpos macizos detalles.</w:t>
      </w:r>
    </w:p>
    <w:p w:rsidR="00000000" w:rsidDel="00000000" w:rsidP="00000000" w:rsidRDefault="00000000" w:rsidRPr="00000000" w14:paraId="0000001B">
      <w:pPr>
        <w:pStyle w:val="Heading2"/>
        <w:rPr/>
      </w:pPr>
      <w:bookmarkStart w:colFirst="0" w:colLast="0" w:name="_y6eqay4bhw41" w:id="6"/>
      <w:bookmarkEnd w:id="6"/>
      <w:r w:rsidDel="00000000" w:rsidR="00000000" w:rsidRPr="00000000">
        <w:rPr>
          <w:rtl w:val="0"/>
        </w:rPr>
        <w:t xml:space="preserve">TEMA 6</w:t>
      </w:r>
    </w:p>
    <w:p w:rsidR="00000000" w:rsidDel="00000000" w:rsidP="00000000" w:rsidRDefault="00000000" w:rsidRPr="00000000" w14:paraId="0000001C">
      <w:pPr>
        <w:ind w:left="0" w:firstLine="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Planos. Tamaños normalizados. Conocimientos de caballeras e isometrías.</w:t>
      </w:r>
    </w:p>
    <w:p w:rsidR="00000000" w:rsidDel="00000000" w:rsidP="00000000" w:rsidRDefault="00000000" w:rsidRPr="00000000" w14:paraId="0000001D">
      <w:pPr>
        <w:pStyle w:val="Heading2"/>
        <w:rPr/>
      </w:pPr>
      <w:bookmarkStart w:colFirst="0" w:colLast="0" w:name="_62skt2nchkxr" w:id="7"/>
      <w:bookmarkEnd w:id="7"/>
      <w:r w:rsidDel="00000000" w:rsidR="00000000" w:rsidRPr="00000000">
        <w:rPr>
          <w:rtl w:val="0"/>
        </w:rPr>
        <w:t xml:space="preserve">TEMA 7</w:t>
      </w:r>
    </w:p>
    <w:p w:rsidR="00000000" w:rsidDel="00000000" w:rsidP="00000000" w:rsidRDefault="00000000" w:rsidRPr="00000000" w14:paraId="0000001E">
      <w:pPr>
        <w:ind w:left="0" w:firstLine="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Lectura de dibujos. Cuerpos macizos. Conocimientos de dimetrías.</w:t>
      </w:r>
    </w:p>
    <w:p w:rsidR="00000000" w:rsidDel="00000000" w:rsidP="00000000" w:rsidRDefault="00000000" w:rsidRPr="00000000" w14:paraId="0000001F">
      <w:pPr>
        <w:pStyle w:val="Heading2"/>
        <w:rPr/>
      </w:pPr>
      <w:bookmarkStart w:colFirst="0" w:colLast="0" w:name="_mad7q59wv0uq" w:id="8"/>
      <w:bookmarkEnd w:id="8"/>
      <w:r w:rsidDel="00000000" w:rsidR="00000000" w:rsidRPr="00000000">
        <w:rPr>
          <w:rtl w:val="0"/>
        </w:rPr>
        <w:t xml:space="preserve">TEMA 8</w:t>
      </w:r>
    </w:p>
    <w:p w:rsidR="00000000" w:rsidDel="00000000" w:rsidP="00000000" w:rsidRDefault="00000000" w:rsidRPr="00000000" w14:paraId="00000020">
      <w:pPr>
        <w:ind w:left="0" w:firstLine="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Doblado de planos.</w:t>
      </w:r>
    </w:p>
    <w:p w:rsidR="00000000" w:rsidDel="00000000" w:rsidP="00000000" w:rsidRDefault="00000000" w:rsidRPr="00000000" w14:paraId="00000021">
      <w:pPr>
        <w:pStyle w:val="Heading2"/>
        <w:rPr/>
      </w:pPr>
      <w:bookmarkStart w:colFirst="0" w:colLast="0" w:name="_2zx25x6sl14k" w:id="9"/>
      <w:bookmarkEnd w:id="9"/>
      <w:r w:rsidDel="00000000" w:rsidR="00000000" w:rsidRPr="00000000">
        <w:rPr>
          <w:rtl w:val="0"/>
        </w:rPr>
        <w:t xml:space="preserve">TEMA 9</w:t>
      </w:r>
    </w:p>
    <w:p w:rsidR="00000000" w:rsidDel="00000000" w:rsidP="00000000" w:rsidRDefault="00000000" w:rsidRPr="00000000" w14:paraId="00000022">
      <w:pPr>
        <w:ind w:left="0" w:firstLine="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Interpretación de cortes de cuerpos huecos sencillos y con detalles.</w:t>
      </w:r>
    </w:p>
    <w:p w:rsidR="00000000" w:rsidDel="00000000" w:rsidP="00000000" w:rsidRDefault="00000000" w:rsidRPr="00000000" w14:paraId="00000023">
      <w:pPr>
        <w:pStyle w:val="Heading2"/>
        <w:rPr/>
      </w:pPr>
      <w:bookmarkStart w:colFirst="0" w:colLast="0" w:name="_ea6dc2pu4s52" w:id="10"/>
      <w:bookmarkEnd w:id="10"/>
      <w:r w:rsidDel="00000000" w:rsidR="00000000" w:rsidRPr="00000000">
        <w:rPr>
          <w:rtl w:val="0"/>
        </w:rPr>
        <w:t xml:space="preserve">TEMA 10</w:t>
      </w:r>
    </w:p>
    <w:p w:rsidR="00000000" w:rsidDel="00000000" w:rsidP="00000000" w:rsidRDefault="00000000" w:rsidRPr="00000000" w14:paraId="00000024">
      <w:pPr>
        <w:ind w:left="0" w:firstLine="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Interpretación de cortes de cuerpos huecos complejos. Perspectivas.</w:t>
      </w:r>
    </w:p>
    <w:p w:rsidR="00000000" w:rsidDel="00000000" w:rsidP="00000000" w:rsidRDefault="00000000" w:rsidRPr="00000000" w14:paraId="00000025">
      <w:pPr>
        <w:pStyle w:val="Heading2"/>
        <w:rPr/>
      </w:pPr>
      <w:bookmarkStart w:colFirst="0" w:colLast="0" w:name="_j5b1duyf9je3" w:id="11"/>
      <w:bookmarkEnd w:id="11"/>
      <w:r w:rsidDel="00000000" w:rsidR="00000000" w:rsidRPr="00000000">
        <w:rPr>
          <w:rtl w:val="0"/>
        </w:rPr>
        <w:t xml:space="preserve">TEMA 11</w:t>
      </w:r>
    </w:p>
    <w:p w:rsidR="00000000" w:rsidDel="00000000" w:rsidP="00000000" w:rsidRDefault="00000000" w:rsidRPr="00000000" w14:paraId="00000026">
      <w:pPr>
        <w:ind w:left="0" w:firstLine="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Copia y ubicación sobre muestras de planos de conjunto y despiece.</w:t>
      </w:r>
    </w:p>
    <w:p w:rsidR="00000000" w:rsidDel="00000000" w:rsidP="00000000" w:rsidRDefault="00000000" w:rsidRPr="00000000" w14:paraId="00000027">
      <w:pPr>
        <w:ind w:left="0" w:firstLine="0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pStyle w:val="Heading2"/>
        <w:rPr/>
      </w:pPr>
      <w:bookmarkStart w:colFirst="0" w:colLast="0" w:name="_5ts89gu6sbfc" w:id="12"/>
      <w:bookmarkEnd w:id="12"/>
      <w:r w:rsidDel="00000000" w:rsidR="00000000" w:rsidRPr="00000000">
        <w:rPr>
          <w:rtl w:val="0"/>
        </w:rPr>
        <w:t xml:space="preserve">BIBLIOGRAFÍA</w:t>
      </w:r>
    </w:p>
    <w:p w:rsidR="00000000" w:rsidDel="00000000" w:rsidP="00000000" w:rsidRDefault="00000000" w:rsidRPr="00000000" w14:paraId="00000029">
      <w:pPr>
        <w:pStyle w:val="Heading3"/>
        <w:rPr/>
      </w:pPr>
      <w:bookmarkStart w:colFirst="0" w:colLast="0" w:name="_myiljyuv5lk" w:id="13"/>
      <w:bookmarkEnd w:id="13"/>
      <w:r w:rsidDel="00000000" w:rsidR="00000000" w:rsidRPr="00000000">
        <w:rPr>
          <w:rtl w:val="0"/>
        </w:rPr>
        <w:t xml:space="preserve">Básica y de Consulta</w:t>
      </w:r>
    </w:p>
    <w:p w:rsidR="00000000" w:rsidDel="00000000" w:rsidP="00000000" w:rsidRDefault="00000000" w:rsidRPr="00000000" w14:paraId="0000002A">
      <w:pPr>
        <w:numPr>
          <w:ilvl w:val="0"/>
          <w:numId w:val="1"/>
        </w:numPr>
        <w:spacing w:after="80" w:line="273.6" w:lineRule="auto"/>
        <w:ind w:left="72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Manual de Normas IRAM de Dibujo.</w:t>
      </w:r>
    </w:p>
    <w:p w:rsidR="00000000" w:rsidDel="00000000" w:rsidP="00000000" w:rsidRDefault="00000000" w:rsidRPr="00000000" w14:paraId="0000002B">
      <w:pPr>
        <w:numPr>
          <w:ilvl w:val="0"/>
          <w:numId w:val="1"/>
        </w:numPr>
        <w:spacing w:after="80" w:line="273.6" w:lineRule="auto"/>
        <w:ind w:left="72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Dibujo y Diseño de Ingeniería – Jensen</w:t>
      </w:r>
    </w:p>
    <w:p w:rsidR="00000000" w:rsidDel="00000000" w:rsidP="00000000" w:rsidRDefault="00000000" w:rsidRPr="00000000" w14:paraId="0000002C">
      <w:pPr>
        <w:numPr>
          <w:ilvl w:val="0"/>
          <w:numId w:val="1"/>
        </w:numPr>
        <w:spacing w:after="80" w:line="273.6" w:lineRule="auto"/>
        <w:ind w:left="72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Dibujo Técnico – Schneider</w:t>
      </w:r>
    </w:p>
    <w:p w:rsidR="00000000" w:rsidDel="00000000" w:rsidP="00000000" w:rsidRDefault="00000000" w:rsidRPr="00000000" w14:paraId="0000002D">
      <w:pPr>
        <w:numPr>
          <w:ilvl w:val="0"/>
          <w:numId w:val="1"/>
        </w:numPr>
        <w:spacing w:after="80" w:line="273.6" w:lineRule="auto"/>
        <w:ind w:left="72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Autocad – Programa Universal</w:t>
      </w:r>
    </w:p>
    <w:p w:rsidR="00000000" w:rsidDel="00000000" w:rsidP="00000000" w:rsidRDefault="00000000" w:rsidRPr="00000000" w14:paraId="0000002E">
      <w:pPr>
        <w:spacing w:after="80" w:line="273.6" w:lineRule="auto"/>
        <w:ind w:left="0" w:firstLine="0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pacing w:after="80" w:line="273.6" w:lineRule="auto"/>
        <w:ind w:left="720" w:firstLine="0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spacing w:after="80" w:line="273.6" w:lineRule="auto"/>
        <w:ind w:left="0" w:firstLine="0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spacing w:after="80" w:line="273.6" w:lineRule="auto"/>
        <w:ind w:left="720" w:firstLine="0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sectPr>
      <w:headerReference r:id="rId6" w:type="default"/>
      <w:headerReference r:id="rId7" w:type="first"/>
      <w:footerReference r:id="rId8" w:type="default"/>
      <w:footerReference r:id="rId9" w:type="first"/>
      <w:pgSz w:h="16838" w:w="11906"/>
      <w:pgMar w:bottom="1133.8582677165355" w:top="1133.8582677165355" w:left="1133.8582677165355" w:right="1133.8582677165355" w:header="566.9291338582677" w:footer="566.9291338582677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Lora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3A">
    <w:pPr>
      <w:jc w:val="right"/>
      <w:rPr>
        <w:color w:val="16a085"/>
      </w:rPr>
    </w:pPr>
    <w:r w:rsidDel="00000000" w:rsidR="00000000" w:rsidRPr="00000000">
      <w:rPr>
        <w:color w:val="16a085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3B">
    <w:pPr>
      <w:jc w:val="right"/>
      <w:rPr>
        <w:rFonts w:ascii="Roboto" w:cs="Roboto" w:eastAsia="Roboto" w:hAnsi="Roboto"/>
        <w:color w:val="16a085"/>
      </w:rPr>
    </w:pPr>
    <w:r w:rsidDel="00000000" w:rsidR="00000000" w:rsidRPr="00000000">
      <w:rPr>
        <w:rFonts w:ascii="Roboto" w:cs="Roboto" w:eastAsia="Roboto" w:hAnsi="Roboto"/>
        <w:color w:val="16a085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32">
    <w:pPr>
      <w:spacing w:line="240" w:lineRule="auto"/>
      <w:rPr>
        <w:rFonts w:ascii="Roboto" w:cs="Roboto" w:eastAsia="Roboto" w:hAnsi="Roboto"/>
        <w:sz w:val="4"/>
        <w:szCs w:val="4"/>
      </w:rPr>
    </w:pPr>
    <w:r w:rsidDel="00000000" w:rsidR="00000000" w:rsidRPr="00000000">
      <w:rPr>
        <w:rtl w:val="0"/>
      </w:rPr>
    </w:r>
  </w:p>
  <w:tbl>
    <w:tblPr>
      <w:tblStyle w:val="Table2"/>
      <w:tblW w:w="9630.0" w:type="dxa"/>
      <w:jc w:val="center"/>
      <w:tblLayout w:type="fixed"/>
      <w:tblLook w:val="0600"/>
    </w:tblPr>
    <w:tblGrid>
      <w:gridCol w:w="1245"/>
      <w:gridCol w:w="2550"/>
      <w:gridCol w:w="1275"/>
      <w:gridCol w:w="1350"/>
      <w:gridCol w:w="1230"/>
      <w:gridCol w:w="1980"/>
      <w:tblGridChange w:id="0">
        <w:tblGrid>
          <w:gridCol w:w="1245"/>
          <w:gridCol w:w="2550"/>
          <w:gridCol w:w="1275"/>
          <w:gridCol w:w="1350"/>
          <w:gridCol w:w="1230"/>
          <w:gridCol w:w="1980"/>
        </w:tblGrid>
      </w:tblGridChange>
    </w:tblGrid>
    <w:tr>
      <w:trPr>
        <w:trHeight w:val="1140" w:hRule="atLeast"/>
      </w:trPr>
      <w:tc>
        <w:tcPr>
          <w:shd w:fill="auto" w:val="clear"/>
          <w:tcMar>
            <w:top w:w="0.0" w:type="dxa"/>
            <w:left w:w="0.0" w:type="dxa"/>
            <w:bottom w:w="0.0" w:type="dxa"/>
            <w:right w:w="0.0" w:type="dxa"/>
          </w:tcMar>
          <w:vAlign w:val="center"/>
        </w:tcPr>
        <w:p w:rsidR="00000000" w:rsidDel="00000000" w:rsidP="00000000" w:rsidRDefault="00000000" w:rsidRPr="00000000" w14:paraId="00000033">
          <w:pPr>
            <w:spacing w:after="40" w:line="264" w:lineRule="auto"/>
            <w:jc w:val="left"/>
            <w:rPr>
              <w:rFonts w:ascii="Lora" w:cs="Lora" w:eastAsia="Lora" w:hAnsi="Lora"/>
              <w:b w:val="1"/>
              <w:sz w:val="18"/>
              <w:szCs w:val="18"/>
            </w:rPr>
          </w:pPr>
          <w:r w:rsidDel="00000000" w:rsidR="00000000" w:rsidRPr="00000000">
            <w:rPr>
              <w:rFonts w:ascii="Lora" w:cs="Lora" w:eastAsia="Lora" w:hAnsi="Lora"/>
              <w:b w:val="1"/>
              <w:sz w:val="18"/>
              <w:szCs w:val="18"/>
            </w:rPr>
            <w:drawing>
              <wp:inline distB="114300" distT="114300" distL="114300" distR="114300">
                <wp:extent cx="762000" cy="617175"/>
                <wp:effectExtent b="0" l="0" r="0" t="0"/>
                <wp:docPr id="1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1"/>
                        <a:srcRect b="9744" l="0" r="0" t="903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62000" cy="617175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  <w:tc>
        <w:tcPr>
          <w:shd w:fill="auto" w:val="clear"/>
          <w:tcMar>
            <w:top w:w="0.0" w:type="dxa"/>
            <w:left w:w="0.0" w:type="dxa"/>
            <w:bottom w:w="0.0" w:type="dxa"/>
            <w:right w:w="0.0" w:type="dxa"/>
          </w:tcMar>
          <w:vAlign w:val="center"/>
        </w:tcPr>
        <w:p w:rsidR="00000000" w:rsidDel="00000000" w:rsidP="00000000" w:rsidRDefault="00000000" w:rsidRPr="00000000" w14:paraId="00000034">
          <w:pPr>
            <w:keepNext w:val="0"/>
            <w:keepLines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40" w:before="0" w:line="264" w:lineRule="auto"/>
            <w:ind w:left="0" w:right="0" w:firstLine="0"/>
            <w:jc w:val="center"/>
            <w:rPr>
              <w:rFonts w:ascii="Lora" w:cs="Lora" w:eastAsia="Lora" w:hAnsi="Lora"/>
              <w:sz w:val="18"/>
              <w:szCs w:val="18"/>
            </w:rPr>
          </w:pPr>
          <w:r w:rsidDel="00000000" w:rsidR="00000000" w:rsidRPr="00000000">
            <w:rPr>
              <w:rFonts w:ascii="Lora" w:cs="Lora" w:eastAsia="Lora" w:hAnsi="Lora"/>
              <w:sz w:val="18"/>
              <w:szCs w:val="18"/>
              <w:rtl w:val="0"/>
            </w:rPr>
            <w:t xml:space="preserve">Departamento de Ingeniería Química y en Alimentos</w:t>
          </w:r>
        </w:p>
      </w:tc>
      <w:tc>
        <w:tcPr>
          <w:shd w:fill="auto" w:val="clear"/>
          <w:tcMar>
            <w:top w:w="0.0" w:type="dxa"/>
            <w:left w:w="0.0" w:type="dxa"/>
            <w:bottom w:w="0.0" w:type="dxa"/>
            <w:right w:w="0.0" w:type="dxa"/>
          </w:tcMar>
          <w:vAlign w:val="center"/>
        </w:tcPr>
        <w:p w:rsidR="00000000" w:rsidDel="00000000" w:rsidP="00000000" w:rsidRDefault="00000000" w:rsidRPr="00000000" w14:paraId="00000035">
          <w:pPr>
            <w:spacing w:after="40" w:line="264" w:lineRule="auto"/>
            <w:jc w:val="right"/>
            <w:rPr>
              <w:rFonts w:ascii="Lora" w:cs="Lora" w:eastAsia="Lora" w:hAnsi="Lora"/>
              <w:sz w:val="18"/>
              <w:szCs w:val="18"/>
            </w:rPr>
          </w:pPr>
          <w:r w:rsidDel="00000000" w:rsidR="00000000" w:rsidRPr="00000000">
            <w:rPr>
              <w:rFonts w:ascii="Lora" w:cs="Lora" w:eastAsia="Lora" w:hAnsi="Lora"/>
              <w:sz w:val="18"/>
              <w:szCs w:val="18"/>
            </w:rPr>
            <w:drawing>
              <wp:inline distB="114300" distT="114300" distL="114300" distR="114300">
                <wp:extent cx="819150" cy="642938"/>
                <wp:effectExtent b="0" l="0" r="0" t="0"/>
                <wp:docPr id="2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2"/>
                        <a:srcRect b="8720" l="0" r="0" t="1279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19150" cy="642938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  <w:tc>
        <w:tcPr>
          <w:shd w:fill="auto" w:val="clear"/>
          <w:tcMar>
            <w:top w:w="0.0" w:type="dxa"/>
            <w:left w:w="0.0" w:type="dxa"/>
            <w:bottom w:w="0.0" w:type="dxa"/>
            <w:right w:w="0.0" w:type="dxa"/>
          </w:tcMar>
          <w:vAlign w:val="center"/>
        </w:tcPr>
        <w:p w:rsidR="00000000" w:rsidDel="00000000" w:rsidP="00000000" w:rsidRDefault="00000000" w:rsidRPr="00000000" w14:paraId="00000036">
          <w:pPr>
            <w:keepNext w:val="0"/>
            <w:keepLines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40" w:before="0" w:line="264" w:lineRule="auto"/>
            <w:ind w:left="0" w:right="0" w:firstLine="0"/>
            <w:jc w:val="center"/>
            <w:rPr>
              <w:rFonts w:ascii="Lora" w:cs="Lora" w:eastAsia="Lora" w:hAnsi="Lora"/>
              <w:sz w:val="18"/>
              <w:szCs w:val="18"/>
            </w:rPr>
          </w:pPr>
          <w:r w:rsidDel="00000000" w:rsidR="00000000" w:rsidRPr="00000000">
            <w:rPr>
              <w:rFonts w:ascii="Lora" w:cs="Lora" w:eastAsia="Lora" w:hAnsi="Lora"/>
              <w:sz w:val="18"/>
              <w:szCs w:val="18"/>
              <w:rtl w:val="0"/>
            </w:rPr>
            <w:t xml:space="preserve">Facultad de Ingeniería</w:t>
          </w:r>
        </w:p>
      </w:tc>
      <w:tc>
        <w:tcPr>
          <w:shd w:fill="auto" w:val="clear"/>
          <w:tcMar>
            <w:top w:w="0.0" w:type="dxa"/>
            <w:left w:w="0.0" w:type="dxa"/>
            <w:bottom w:w="0.0" w:type="dxa"/>
            <w:right w:w="0.0" w:type="dxa"/>
          </w:tcMar>
          <w:vAlign w:val="center"/>
        </w:tcPr>
        <w:p w:rsidR="00000000" w:rsidDel="00000000" w:rsidP="00000000" w:rsidRDefault="00000000" w:rsidRPr="00000000" w14:paraId="00000037">
          <w:pPr>
            <w:spacing w:after="40" w:line="264" w:lineRule="auto"/>
            <w:jc w:val="right"/>
            <w:rPr>
              <w:rFonts w:ascii="Lora" w:cs="Lora" w:eastAsia="Lora" w:hAnsi="Lora"/>
              <w:sz w:val="18"/>
              <w:szCs w:val="18"/>
            </w:rPr>
          </w:pPr>
          <w:r w:rsidDel="00000000" w:rsidR="00000000" w:rsidRPr="00000000">
            <w:rPr>
              <w:rFonts w:ascii="Lora" w:cs="Lora" w:eastAsia="Lora" w:hAnsi="Lora"/>
              <w:sz w:val="18"/>
              <w:szCs w:val="18"/>
            </w:rPr>
            <w:drawing>
              <wp:inline distB="114300" distT="114300" distL="114300" distR="114300">
                <wp:extent cx="544875" cy="544875"/>
                <wp:effectExtent b="0" l="0" r="0" t="0"/>
                <wp:docPr id="3" name="image5.png"/>
                <a:graphic>
                  <a:graphicData uri="http://schemas.openxmlformats.org/drawingml/2006/picture">
                    <pic:pic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3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44875" cy="544875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  <w:tc>
        <w:tcPr>
          <w:shd w:fill="auto" w:val="clear"/>
          <w:tcMar>
            <w:top w:w="0.0" w:type="dxa"/>
            <w:left w:w="0.0" w:type="dxa"/>
            <w:bottom w:w="0.0" w:type="dxa"/>
            <w:right w:w="0.0" w:type="dxa"/>
          </w:tcMar>
          <w:vAlign w:val="center"/>
        </w:tcPr>
        <w:p w:rsidR="00000000" w:rsidDel="00000000" w:rsidP="00000000" w:rsidRDefault="00000000" w:rsidRPr="00000000" w14:paraId="00000038">
          <w:pPr>
            <w:keepNext w:val="0"/>
            <w:keepLines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40" w:before="0" w:line="264" w:lineRule="auto"/>
            <w:ind w:left="0" w:right="0" w:firstLine="0"/>
            <w:jc w:val="center"/>
            <w:rPr>
              <w:rFonts w:ascii="Lora" w:cs="Lora" w:eastAsia="Lora" w:hAnsi="Lora"/>
              <w:sz w:val="18"/>
              <w:szCs w:val="18"/>
            </w:rPr>
          </w:pPr>
          <w:r w:rsidDel="00000000" w:rsidR="00000000" w:rsidRPr="00000000">
            <w:rPr>
              <w:rFonts w:ascii="Lora" w:cs="Lora" w:eastAsia="Lora" w:hAnsi="Lora"/>
              <w:sz w:val="18"/>
              <w:szCs w:val="18"/>
              <w:rtl w:val="0"/>
            </w:rPr>
            <w:t xml:space="preserve">Universidad Nacional de Mar del Plata</w:t>
          </w:r>
        </w:p>
      </w:tc>
    </w:tr>
  </w:tbl>
  <w:p w:rsidR="00000000" w:rsidDel="00000000" w:rsidP="00000000" w:rsidRDefault="00000000" w:rsidRPr="00000000" w14:paraId="00000039">
    <w:pPr>
      <w:spacing w:line="240" w:lineRule="auto"/>
      <w:rPr/>
    </w:pPr>
    <w:r w:rsidDel="00000000" w:rsidR="00000000" w:rsidRPr="00000000">
      <w:pict>
        <v:rect style="width:0.0pt;height:1.5pt" o:hr="t" o:hrstd="t" o:hralign="center" fillcolor="#A0A0A0" stroked="f"/>
      </w:pict>
    </w: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3C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➢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s"/>
      </w:rPr>
    </w:rPrDefault>
    <w:pPrDefault>
      <w:pPr>
        <w:spacing w:line="276" w:lineRule="auto"/>
        <w:jc w:val="both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  <w:jc w:val="center"/>
    </w:pPr>
    <w:rPr>
      <w:rFonts w:ascii="Roboto" w:cs="Roboto" w:eastAsia="Roboto" w:hAnsi="Roboto"/>
      <w:b w:val="1"/>
      <w:color w:val="16a085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spacing w:after="40" w:before="200" w:line="271.2" w:lineRule="auto"/>
    </w:pPr>
    <w:rPr>
      <w:rFonts w:ascii="Roboto" w:cs="Roboto" w:eastAsia="Roboto" w:hAnsi="Roboto"/>
      <w:b w:val="1"/>
      <w:color w:val="16a085"/>
      <w:sz w:val="28"/>
      <w:szCs w:val="28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="273.6" w:lineRule="auto"/>
    </w:pPr>
    <w:rPr>
      <w:rFonts w:ascii="Roboto" w:cs="Roboto" w:eastAsia="Roboto" w:hAnsi="Roboto"/>
      <w:b w:val="1"/>
      <w:i w:val="1"/>
      <w:color w:val="434343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footer" Target="footer2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Relationship Id="rId5" Type="http://schemas.openxmlformats.org/officeDocument/2006/relationships/font" Target="fonts/Lora-regular.ttf"/><Relationship Id="rId6" Type="http://schemas.openxmlformats.org/officeDocument/2006/relationships/font" Target="fonts/Lora-bold.ttf"/><Relationship Id="rId7" Type="http://schemas.openxmlformats.org/officeDocument/2006/relationships/font" Target="fonts/Lora-italic.ttf"/><Relationship Id="rId8" Type="http://schemas.openxmlformats.org/officeDocument/2006/relationships/font" Target="fonts/Lora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3.png"/><Relationship Id="rId2" Type="http://schemas.openxmlformats.org/officeDocument/2006/relationships/image" Target="media/image4.png"/><Relationship Id="rId3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