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789D" w:rsidRDefault="0020789D">
      <w:pPr>
        <w:rPr>
          <w:rFonts w:ascii="Roboto" w:eastAsia="Roboto" w:hAnsi="Roboto" w:cs="Roboto"/>
          <w:sz w:val="16"/>
          <w:szCs w:val="16"/>
        </w:rPr>
      </w:pPr>
      <w:bookmarkStart w:id="0" w:name="_GoBack"/>
      <w:bookmarkEnd w:id="0"/>
    </w:p>
    <w:tbl>
      <w:tblPr>
        <w:tblStyle w:val="a"/>
        <w:tblW w:w="9630" w:type="dxa"/>
        <w:jc w:val="center"/>
        <w:tblInd w:w="0" w:type="dxa"/>
        <w:tblLayout w:type="fixed"/>
        <w:tblLook w:val="0600" w:firstRow="0" w:lastRow="0" w:firstColumn="0" w:lastColumn="0" w:noHBand="1" w:noVBand="1"/>
      </w:tblPr>
      <w:tblGrid>
        <w:gridCol w:w="1710"/>
        <w:gridCol w:w="5865"/>
        <w:gridCol w:w="855"/>
        <w:gridCol w:w="1200"/>
      </w:tblGrid>
      <w:tr w:rsidR="0020789D">
        <w:trPr>
          <w:jc w:val="center"/>
        </w:trPr>
        <w:tc>
          <w:tcPr>
            <w:tcW w:w="1710" w:type="dxa"/>
            <w:shd w:val="clear" w:color="auto" w:fill="auto"/>
            <w:tcMar>
              <w:top w:w="51" w:type="dxa"/>
              <w:left w:w="51" w:type="dxa"/>
              <w:bottom w:w="51" w:type="dxa"/>
              <w:right w:w="51" w:type="dxa"/>
            </w:tcMar>
            <w:vAlign w:val="center"/>
          </w:tcPr>
          <w:p w:rsidR="0020789D" w:rsidRDefault="00C97179">
            <w:pPr>
              <w:jc w:val="right"/>
              <w:rPr>
                <w:rFonts w:ascii="Roboto" w:eastAsia="Roboto" w:hAnsi="Roboto" w:cs="Roboto"/>
                <w:b/>
                <w:color w:val="16A085"/>
                <w:sz w:val="24"/>
                <w:szCs w:val="24"/>
              </w:rPr>
            </w:pPr>
            <w:r>
              <w:rPr>
                <w:rFonts w:ascii="Roboto" w:eastAsia="Roboto" w:hAnsi="Roboto" w:cs="Roboto"/>
                <w:b/>
                <w:color w:val="16A085"/>
                <w:sz w:val="24"/>
                <w:szCs w:val="24"/>
              </w:rPr>
              <w:t>CARRERA</w:t>
            </w:r>
          </w:p>
        </w:tc>
        <w:tc>
          <w:tcPr>
            <w:tcW w:w="5865" w:type="dxa"/>
            <w:shd w:val="clear" w:color="auto" w:fill="auto"/>
            <w:tcMar>
              <w:top w:w="51" w:type="dxa"/>
              <w:left w:w="51" w:type="dxa"/>
              <w:bottom w:w="51" w:type="dxa"/>
              <w:right w:w="51" w:type="dxa"/>
            </w:tcMar>
            <w:vAlign w:val="center"/>
          </w:tcPr>
          <w:p w:rsidR="0020789D" w:rsidRDefault="00C97179">
            <w:pPr>
              <w:widowControl w:val="0"/>
              <w:pBdr>
                <w:top w:val="nil"/>
                <w:left w:val="nil"/>
                <w:bottom w:val="nil"/>
                <w:right w:val="nil"/>
                <w:between w:val="nil"/>
              </w:pBdr>
              <w:spacing w:line="240" w:lineRule="auto"/>
              <w:jc w:val="left"/>
              <w:rPr>
                <w:rFonts w:ascii="Roboto" w:eastAsia="Roboto" w:hAnsi="Roboto" w:cs="Roboto"/>
                <w:b/>
                <w:sz w:val="24"/>
                <w:szCs w:val="24"/>
              </w:rPr>
            </w:pPr>
            <w:r>
              <w:rPr>
                <w:rFonts w:ascii="Roboto" w:eastAsia="Roboto" w:hAnsi="Roboto" w:cs="Roboto"/>
                <w:b/>
                <w:sz w:val="24"/>
                <w:szCs w:val="24"/>
              </w:rPr>
              <w:t>Ingeniería Química</w:t>
            </w:r>
          </w:p>
        </w:tc>
        <w:tc>
          <w:tcPr>
            <w:tcW w:w="855" w:type="dxa"/>
            <w:shd w:val="clear" w:color="auto" w:fill="auto"/>
            <w:tcMar>
              <w:top w:w="51" w:type="dxa"/>
              <w:left w:w="51" w:type="dxa"/>
              <w:bottom w:w="51" w:type="dxa"/>
              <w:right w:w="51" w:type="dxa"/>
            </w:tcMar>
            <w:vAlign w:val="center"/>
          </w:tcPr>
          <w:p w:rsidR="0020789D" w:rsidRDefault="00C97179">
            <w:pPr>
              <w:jc w:val="right"/>
              <w:rPr>
                <w:rFonts w:ascii="Roboto" w:eastAsia="Roboto" w:hAnsi="Roboto" w:cs="Roboto"/>
                <w:b/>
                <w:color w:val="16A085"/>
                <w:sz w:val="24"/>
                <w:szCs w:val="24"/>
              </w:rPr>
            </w:pPr>
            <w:r>
              <w:rPr>
                <w:rFonts w:ascii="Roboto" w:eastAsia="Roboto" w:hAnsi="Roboto" w:cs="Roboto"/>
                <w:b/>
                <w:color w:val="16A085"/>
                <w:sz w:val="24"/>
                <w:szCs w:val="24"/>
              </w:rPr>
              <w:t>PLAN</w:t>
            </w:r>
          </w:p>
        </w:tc>
        <w:tc>
          <w:tcPr>
            <w:tcW w:w="1200" w:type="dxa"/>
            <w:shd w:val="clear" w:color="auto" w:fill="auto"/>
            <w:tcMar>
              <w:top w:w="51" w:type="dxa"/>
              <w:left w:w="51" w:type="dxa"/>
              <w:bottom w:w="51" w:type="dxa"/>
              <w:right w:w="51" w:type="dxa"/>
            </w:tcMar>
            <w:vAlign w:val="center"/>
          </w:tcPr>
          <w:p w:rsidR="0020789D" w:rsidRDefault="00C97179">
            <w:pPr>
              <w:widowControl w:val="0"/>
              <w:pBdr>
                <w:top w:val="nil"/>
                <w:left w:val="nil"/>
                <w:bottom w:val="nil"/>
                <w:right w:val="nil"/>
                <w:between w:val="nil"/>
              </w:pBdr>
              <w:spacing w:line="240" w:lineRule="auto"/>
              <w:jc w:val="left"/>
              <w:rPr>
                <w:rFonts w:ascii="Roboto" w:eastAsia="Roboto" w:hAnsi="Roboto" w:cs="Roboto"/>
                <w:b/>
                <w:sz w:val="24"/>
                <w:szCs w:val="24"/>
              </w:rPr>
            </w:pPr>
            <w:r>
              <w:rPr>
                <w:rFonts w:ascii="Roboto" w:eastAsia="Roboto" w:hAnsi="Roboto" w:cs="Roboto"/>
                <w:b/>
                <w:sz w:val="24"/>
                <w:szCs w:val="24"/>
              </w:rPr>
              <w:t>2003</w:t>
            </w:r>
          </w:p>
        </w:tc>
      </w:tr>
      <w:tr w:rsidR="0020789D">
        <w:trPr>
          <w:jc w:val="center"/>
        </w:trPr>
        <w:tc>
          <w:tcPr>
            <w:tcW w:w="1710" w:type="dxa"/>
            <w:shd w:val="clear" w:color="auto" w:fill="auto"/>
            <w:tcMar>
              <w:top w:w="51" w:type="dxa"/>
              <w:left w:w="51" w:type="dxa"/>
              <w:bottom w:w="51" w:type="dxa"/>
              <w:right w:w="51" w:type="dxa"/>
            </w:tcMar>
            <w:vAlign w:val="center"/>
          </w:tcPr>
          <w:p w:rsidR="0020789D" w:rsidRDefault="00C97179">
            <w:pPr>
              <w:jc w:val="right"/>
              <w:rPr>
                <w:rFonts w:ascii="Roboto" w:eastAsia="Roboto" w:hAnsi="Roboto" w:cs="Roboto"/>
                <w:b/>
                <w:color w:val="16A085"/>
                <w:sz w:val="24"/>
                <w:szCs w:val="24"/>
              </w:rPr>
            </w:pPr>
            <w:r>
              <w:rPr>
                <w:rFonts w:ascii="Roboto" w:eastAsia="Roboto" w:hAnsi="Roboto" w:cs="Roboto"/>
                <w:b/>
                <w:color w:val="16A085"/>
                <w:sz w:val="24"/>
                <w:szCs w:val="24"/>
              </w:rPr>
              <w:t>ASIGNATURA</w:t>
            </w:r>
          </w:p>
        </w:tc>
        <w:tc>
          <w:tcPr>
            <w:tcW w:w="5865" w:type="dxa"/>
            <w:shd w:val="clear" w:color="auto" w:fill="auto"/>
            <w:tcMar>
              <w:top w:w="51" w:type="dxa"/>
              <w:left w:w="51" w:type="dxa"/>
              <w:bottom w:w="51" w:type="dxa"/>
              <w:right w:w="51" w:type="dxa"/>
            </w:tcMar>
            <w:vAlign w:val="center"/>
          </w:tcPr>
          <w:p w:rsidR="0020789D" w:rsidRDefault="00C97179">
            <w:pPr>
              <w:widowControl w:val="0"/>
              <w:pBdr>
                <w:top w:val="nil"/>
                <w:left w:val="nil"/>
                <w:bottom w:val="nil"/>
                <w:right w:val="nil"/>
                <w:between w:val="nil"/>
              </w:pBdr>
              <w:spacing w:line="240" w:lineRule="auto"/>
              <w:jc w:val="left"/>
              <w:rPr>
                <w:rFonts w:ascii="Roboto" w:eastAsia="Roboto" w:hAnsi="Roboto" w:cs="Roboto"/>
                <w:b/>
                <w:sz w:val="24"/>
                <w:szCs w:val="24"/>
              </w:rPr>
            </w:pPr>
            <w:r>
              <w:rPr>
                <w:rFonts w:ascii="Roboto" w:eastAsia="Roboto" w:hAnsi="Roboto" w:cs="Roboto"/>
                <w:b/>
                <w:sz w:val="24"/>
                <w:szCs w:val="24"/>
              </w:rPr>
              <w:t>Gestión de Proyectos</w:t>
            </w:r>
          </w:p>
        </w:tc>
        <w:tc>
          <w:tcPr>
            <w:tcW w:w="855" w:type="dxa"/>
            <w:shd w:val="clear" w:color="auto" w:fill="auto"/>
            <w:tcMar>
              <w:top w:w="51" w:type="dxa"/>
              <w:left w:w="51" w:type="dxa"/>
              <w:bottom w:w="51" w:type="dxa"/>
              <w:right w:w="51" w:type="dxa"/>
            </w:tcMar>
            <w:vAlign w:val="center"/>
          </w:tcPr>
          <w:p w:rsidR="0020789D" w:rsidRDefault="00C97179">
            <w:pPr>
              <w:jc w:val="right"/>
              <w:rPr>
                <w:rFonts w:ascii="Roboto" w:eastAsia="Roboto" w:hAnsi="Roboto" w:cs="Roboto"/>
                <w:b/>
                <w:color w:val="16A085"/>
                <w:sz w:val="24"/>
                <w:szCs w:val="24"/>
              </w:rPr>
            </w:pPr>
            <w:r>
              <w:rPr>
                <w:rFonts w:ascii="Roboto" w:eastAsia="Roboto" w:hAnsi="Roboto" w:cs="Roboto"/>
                <w:b/>
                <w:color w:val="16A085"/>
                <w:sz w:val="24"/>
                <w:szCs w:val="24"/>
              </w:rPr>
              <w:t>COD.</w:t>
            </w:r>
          </w:p>
        </w:tc>
        <w:tc>
          <w:tcPr>
            <w:tcW w:w="1200" w:type="dxa"/>
            <w:shd w:val="clear" w:color="auto" w:fill="auto"/>
            <w:tcMar>
              <w:top w:w="51" w:type="dxa"/>
              <w:left w:w="51" w:type="dxa"/>
              <w:bottom w:w="51" w:type="dxa"/>
              <w:right w:w="51" w:type="dxa"/>
            </w:tcMar>
            <w:vAlign w:val="center"/>
          </w:tcPr>
          <w:p w:rsidR="0020789D" w:rsidRDefault="00C97179">
            <w:pPr>
              <w:widowControl w:val="0"/>
              <w:pBdr>
                <w:top w:val="nil"/>
                <w:left w:val="nil"/>
                <w:bottom w:val="nil"/>
                <w:right w:val="nil"/>
                <w:between w:val="nil"/>
              </w:pBdr>
              <w:spacing w:line="240" w:lineRule="auto"/>
              <w:jc w:val="left"/>
              <w:rPr>
                <w:rFonts w:ascii="Roboto" w:eastAsia="Roboto" w:hAnsi="Roboto" w:cs="Roboto"/>
                <w:b/>
                <w:sz w:val="24"/>
                <w:szCs w:val="24"/>
              </w:rPr>
            </w:pPr>
            <w:r>
              <w:rPr>
                <w:rFonts w:ascii="Roboto" w:eastAsia="Roboto" w:hAnsi="Roboto" w:cs="Roboto"/>
                <w:b/>
                <w:sz w:val="24"/>
                <w:szCs w:val="24"/>
              </w:rPr>
              <w:t>294</w:t>
            </w:r>
          </w:p>
        </w:tc>
      </w:tr>
      <w:tr w:rsidR="0020789D">
        <w:trPr>
          <w:jc w:val="center"/>
        </w:trPr>
        <w:tc>
          <w:tcPr>
            <w:tcW w:w="1710" w:type="dxa"/>
            <w:shd w:val="clear" w:color="auto" w:fill="auto"/>
            <w:tcMar>
              <w:top w:w="51" w:type="dxa"/>
              <w:left w:w="51" w:type="dxa"/>
              <w:bottom w:w="51" w:type="dxa"/>
              <w:right w:w="51" w:type="dxa"/>
            </w:tcMar>
            <w:vAlign w:val="center"/>
          </w:tcPr>
          <w:p w:rsidR="0020789D" w:rsidRDefault="00C97179">
            <w:pPr>
              <w:widowControl w:val="0"/>
              <w:pBdr>
                <w:top w:val="nil"/>
                <w:left w:val="nil"/>
                <w:bottom w:val="nil"/>
                <w:right w:val="nil"/>
                <w:between w:val="nil"/>
              </w:pBdr>
              <w:spacing w:line="240" w:lineRule="auto"/>
              <w:jc w:val="right"/>
              <w:rPr>
                <w:rFonts w:ascii="Roboto" w:eastAsia="Roboto" w:hAnsi="Roboto" w:cs="Roboto"/>
                <w:b/>
                <w:color w:val="16A085"/>
                <w:sz w:val="24"/>
                <w:szCs w:val="24"/>
              </w:rPr>
            </w:pPr>
            <w:r>
              <w:rPr>
                <w:rFonts w:ascii="Roboto" w:eastAsia="Roboto" w:hAnsi="Roboto" w:cs="Roboto"/>
                <w:b/>
                <w:color w:val="16A085"/>
                <w:sz w:val="24"/>
                <w:szCs w:val="24"/>
              </w:rPr>
              <w:t>TIPO</w:t>
            </w:r>
          </w:p>
        </w:tc>
        <w:tc>
          <w:tcPr>
            <w:tcW w:w="5865" w:type="dxa"/>
            <w:shd w:val="clear" w:color="auto" w:fill="auto"/>
            <w:tcMar>
              <w:top w:w="51" w:type="dxa"/>
              <w:left w:w="51" w:type="dxa"/>
              <w:bottom w:w="51" w:type="dxa"/>
              <w:right w:w="51" w:type="dxa"/>
            </w:tcMar>
            <w:vAlign w:val="center"/>
          </w:tcPr>
          <w:p w:rsidR="0020789D" w:rsidRDefault="00C97179">
            <w:pPr>
              <w:widowControl w:val="0"/>
              <w:pBdr>
                <w:top w:val="nil"/>
                <w:left w:val="nil"/>
                <w:bottom w:val="nil"/>
                <w:right w:val="nil"/>
                <w:between w:val="nil"/>
              </w:pBdr>
              <w:spacing w:line="240" w:lineRule="auto"/>
              <w:jc w:val="left"/>
              <w:rPr>
                <w:rFonts w:ascii="Roboto" w:eastAsia="Roboto" w:hAnsi="Roboto" w:cs="Roboto"/>
                <w:b/>
                <w:sz w:val="24"/>
                <w:szCs w:val="24"/>
              </w:rPr>
            </w:pPr>
            <w:r>
              <w:rPr>
                <w:rFonts w:ascii="Roboto" w:eastAsia="Roboto" w:hAnsi="Roboto" w:cs="Roboto"/>
                <w:b/>
                <w:sz w:val="24"/>
                <w:szCs w:val="24"/>
              </w:rPr>
              <w:t>Optativa</w:t>
            </w:r>
          </w:p>
        </w:tc>
        <w:tc>
          <w:tcPr>
            <w:tcW w:w="855" w:type="dxa"/>
            <w:shd w:val="clear" w:color="auto" w:fill="auto"/>
            <w:tcMar>
              <w:top w:w="51" w:type="dxa"/>
              <w:left w:w="51" w:type="dxa"/>
              <w:bottom w:w="51" w:type="dxa"/>
              <w:right w:w="51" w:type="dxa"/>
            </w:tcMar>
            <w:vAlign w:val="center"/>
          </w:tcPr>
          <w:p w:rsidR="0020789D" w:rsidRDefault="0020789D">
            <w:pPr>
              <w:widowControl w:val="0"/>
              <w:pBdr>
                <w:top w:val="nil"/>
                <w:left w:val="nil"/>
                <w:bottom w:val="nil"/>
                <w:right w:val="nil"/>
                <w:between w:val="nil"/>
              </w:pBdr>
              <w:spacing w:line="240" w:lineRule="auto"/>
              <w:jc w:val="left"/>
              <w:rPr>
                <w:rFonts w:ascii="Roboto" w:eastAsia="Roboto" w:hAnsi="Roboto" w:cs="Roboto"/>
                <w:sz w:val="24"/>
                <w:szCs w:val="24"/>
              </w:rPr>
            </w:pPr>
          </w:p>
        </w:tc>
        <w:tc>
          <w:tcPr>
            <w:tcW w:w="1200" w:type="dxa"/>
            <w:shd w:val="clear" w:color="auto" w:fill="auto"/>
            <w:tcMar>
              <w:top w:w="51" w:type="dxa"/>
              <w:left w:w="51" w:type="dxa"/>
              <w:bottom w:w="51" w:type="dxa"/>
              <w:right w:w="51" w:type="dxa"/>
            </w:tcMar>
            <w:vAlign w:val="center"/>
          </w:tcPr>
          <w:p w:rsidR="0020789D" w:rsidRDefault="0020789D">
            <w:pPr>
              <w:widowControl w:val="0"/>
              <w:pBdr>
                <w:top w:val="nil"/>
                <w:left w:val="nil"/>
                <w:bottom w:val="nil"/>
                <w:right w:val="nil"/>
                <w:between w:val="nil"/>
              </w:pBdr>
              <w:spacing w:line="240" w:lineRule="auto"/>
              <w:jc w:val="left"/>
              <w:rPr>
                <w:rFonts w:ascii="Roboto" w:eastAsia="Roboto" w:hAnsi="Roboto" w:cs="Roboto"/>
                <w:sz w:val="24"/>
                <w:szCs w:val="24"/>
              </w:rPr>
            </w:pPr>
          </w:p>
        </w:tc>
      </w:tr>
    </w:tbl>
    <w:p w:rsidR="0020789D" w:rsidRDefault="00C97179">
      <w:pPr>
        <w:rPr>
          <w:rFonts w:ascii="Roboto" w:eastAsia="Roboto" w:hAnsi="Roboto" w:cs="Roboto"/>
        </w:rPr>
      </w:pPr>
      <w:r>
        <w:pict>
          <v:rect id="_x0000_i1025" style="width:0;height:1.5pt" o:hralign="center" o:hrstd="t" o:hr="t" fillcolor="#a0a0a0" stroked="f"/>
        </w:pict>
      </w:r>
    </w:p>
    <w:p w:rsidR="0020789D" w:rsidRDefault="00C97179">
      <w:pPr>
        <w:pStyle w:val="Ttulo1"/>
      </w:pPr>
      <w:bookmarkStart w:id="1" w:name="_nddimbltco0o" w:colFirst="0" w:colLast="0"/>
      <w:bookmarkEnd w:id="1"/>
      <w:r>
        <w:t xml:space="preserve">PROGRAMA ANALÍTICO </w:t>
      </w:r>
    </w:p>
    <w:p w:rsidR="0020789D" w:rsidRDefault="00C97179">
      <w:pPr>
        <w:pStyle w:val="Ttulo2"/>
        <w:jc w:val="center"/>
      </w:pPr>
      <w:bookmarkStart w:id="2" w:name="_7k4k1d278dau" w:colFirst="0" w:colLast="0"/>
      <w:bookmarkEnd w:id="2"/>
      <w:r>
        <w:t>PARTE I - ETAPA INICIAL DEL PROYECTO</w:t>
      </w:r>
    </w:p>
    <w:p w:rsidR="0020789D" w:rsidRDefault="00C97179">
      <w:pPr>
        <w:pStyle w:val="Ttulo2"/>
      </w:pPr>
      <w:bookmarkStart w:id="3" w:name="_b3njdi2w7dwd" w:colFirst="0" w:colLast="0"/>
      <w:bookmarkEnd w:id="3"/>
      <w:r>
        <w:t xml:space="preserve">1.- Introducción </w:t>
      </w:r>
    </w:p>
    <w:p w:rsidR="0020789D" w:rsidRDefault="00C97179">
      <w:pPr>
        <w:rPr>
          <w:rFonts w:ascii="Roboto" w:eastAsia="Roboto" w:hAnsi="Roboto" w:cs="Roboto"/>
        </w:rPr>
      </w:pPr>
      <w:r>
        <w:rPr>
          <w:rFonts w:ascii="Roboto" w:eastAsia="Roboto" w:hAnsi="Roboto" w:cs="Roboto"/>
        </w:rPr>
        <w:t>Proyectos en organizaciones contemporáneas. Definición de proyecto. Ciclo de vida de un proyecto. Ejemplos, proyecto del trayecto de la antorcha Olímpica y Demolición del puente de San Francisco. Desarrollo de habilidades en ambientes adverso.</w:t>
      </w:r>
    </w:p>
    <w:p w:rsidR="0020789D" w:rsidRDefault="00C97179">
      <w:pPr>
        <w:pStyle w:val="Ttulo2"/>
      </w:pPr>
      <w:bookmarkStart w:id="4" w:name="_8h2otqekbpp4" w:colFirst="0" w:colLast="0"/>
      <w:bookmarkEnd w:id="4"/>
      <w:r>
        <w:t>2.- Iniciaci</w:t>
      </w:r>
      <w:r>
        <w:t xml:space="preserve">ón de Proyectos </w:t>
      </w:r>
    </w:p>
    <w:p w:rsidR="0020789D" w:rsidRDefault="00C97179">
      <w:pPr>
        <w:rPr>
          <w:rFonts w:ascii="Roboto" w:eastAsia="Roboto" w:hAnsi="Roboto" w:cs="Roboto"/>
        </w:rPr>
      </w:pPr>
      <w:r>
        <w:rPr>
          <w:rFonts w:ascii="Roboto" w:eastAsia="Roboto" w:hAnsi="Roboto" w:cs="Roboto"/>
        </w:rPr>
        <w:t>Criterios para los modelos de selección de proyectos. Naturaleza de los modelos de selección de proyectos. Tipos de modelos de selección de proyectos. Análisis bajo condiciones de incertidumbre. El manejo del riesgo. Información básica par</w:t>
      </w:r>
      <w:r>
        <w:rPr>
          <w:rFonts w:ascii="Roboto" w:eastAsia="Roboto" w:hAnsi="Roboto" w:cs="Roboto"/>
        </w:rPr>
        <w:t>a la selección de proyectos. Propuesta de un proyecto. Análisis de un proyecto de inversión.</w:t>
      </w:r>
    </w:p>
    <w:p w:rsidR="0020789D" w:rsidRDefault="00C97179">
      <w:pPr>
        <w:pStyle w:val="Ttulo2"/>
        <w:jc w:val="center"/>
      </w:pPr>
      <w:bookmarkStart w:id="5" w:name="_iafbiz4u2auw" w:colFirst="0" w:colLast="0"/>
      <w:bookmarkEnd w:id="5"/>
      <w:r>
        <w:t>PARTE II - IMPLEMENTACIÓN DE PROYECTOS</w:t>
      </w:r>
    </w:p>
    <w:p w:rsidR="0020789D" w:rsidRDefault="00C97179">
      <w:pPr>
        <w:pStyle w:val="Ttulo2"/>
      </w:pPr>
      <w:bookmarkStart w:id="6" w:name="_91hshb5e6jof" w:colFirst="0" w:colLast="0"/>
      <w:bookmarkEnd w:id="6"/>
      <w:r>
        <w:t>3.- Programación</w:t>
      </w:r>
    </w:p>
    <w:p w:rsidR="0020789D" w:rsidRDefault="00C97179">
      <w:pPr>
        <w:rPr>
          <w:rFonts w:ascii="Roboto" w:eastAsia="Roboto" w:hAnsi="Roboto" w:cs="Roboto"/>
        </w:rPr>
      </w:pPr>
      <w:r>
        <w:rPr>
          <w:rFonts w:ascii="Roboto" w:eastAsia="Roboto" w:hAnsi="Roboto" w:cs="Roboto"/>
        </w:rPr>
        <w:t>Introducción a la programación de proyectos en Ingeniería. Tipos y construcción de redes. Técnicas de redes: PERT y CPM. Diagramas de Gantt. Camino crítico. Extensión y aplicaciones. Estimaciones de tiempos de las tareas. Análisis de incertidumbre. Estimac</w:t>
      </w:r>
      <w:r>
        <w:rPr>
          <w:rFonts w:ascii="Roboto" w:eastAsia="Roboto" w:hAnsi="Roboto" w:cs="Roboto"/>
        </w:rPr>
        <w:t>ión del tiempo que demanda un proyecto. Comportamiento Organizacional. Niveles de contingencia.</w:t>
      </w:r>
    </w:p>
    <w:p w:rsidR="0020789D" w:rsidRDefault="00C97179">
      <w:pPr>
        <w:pStyle w:val="Ttulo2"/>
      </w:pPr>
      <w:bookmarkStart w:id="7" w:name="_wzvx8jc2xqbc" w:colFirst="0" w:colLast="0"/>
      <w:bookmarkEnd w:id="7"/>
      <w:r>
        <w:t>4.- Asignación de Recursos</w:t>
      </w:r>
    </w:p>
    <w:p w:rsidR="0020789D" w:rsidRDefault="00C97179">
      <w:pPr>
        <w:rPr>
          <w:rFonts w:ascii="Roboto" w:eastAsia="Roboto" w:hAnsi="Roboto" w:cs="Roboto"/>
        </w:rPr>
      </w:pPr>
      <w:r>
        <w:rPr>
          <w:rFonts w:ascii="Roboto" w:eastAsia="Roboto" w:hAnsi="Roboto" w:cs="Roboto"/>
        </w:rPr>
        <w:t>Método de camino crítico. El problema de la asignación de recursos. Incorporación y distribución de recursos. Programación de recurso</w:t>
      </w:r>
      <w:r>
        <w:rPr>
          <w:rFonts w:ascii="Roboto" w:eastAsia="Roboto" w:hAnsi="Roboto" w:cs="Roboto"/>
        </w:rPr>
        <w:t>s escasos. Programación multiproyecto y asignación de recursos. Industria de productos para Hospitales Singer.</w:t>
      </w:r>
    </w:p>
    <w:p w:rsidR="0020789D" w:rsidRDefault="00C97179">
      <w:pPr>
        <w:pStyle w:val="Ttulo2"/>
      </w:pPr>
      <w:bookmarkStart w:id="8" w:name="_63y04z8j575r" w:colFirst="0" w:colLast="0"/>
      <w:bookmarkEnd w:id="8"/>
      <w:r>
        <w:t>5.- Sistema de Información y Monitoreo</w:t>
      </w:r>
    </w:p>
    <w:p w:rsidR="0020789D" w:rsidRDefault="00C97179">
      <w:pPr>
        <w:rPr>
          <w:rFonts w:ascii="Roboto" w:eastAsia="Roboto" w:hAnsi="Roboto" w:cs="Roboto"/>
        </w:rPr>
      </w:pPr>
      <w:r>
        <w:rPr>
          <w:rFonts w:ascii="Roboto" w:eastAsia="Roboto" w:hAnsi="Roboto" w:cs="Roboto"/>
        </w:rPr>
        <w:t>El ciclo planificación, monitoreo y control. Información necesaria y reportes de procesos. Sistema de info</w:t>
      </w:r>
      <w:r>
        <w:rPr>
          <w:rFonts w:ascii="Roboto" w:eastAsia="Roboto" w:hAnsi="Roboto" w:cs="Roboto"/>
        </w:rPr>
        <w:t>rmación de proyectos computarizados. Estudio comparativo de herramientas de gestión de proyectos.</w:t>
      </w:r>
    </w:p>
    <w:p w:rsidR="0020789D" w:rsidRDefault="00C97179">
      <w:pPr>
        <w:pStyle w:val="Ttulo2"/>
      </w:pPr>
      <w:bookmarkStart w:id="9" w:name="_fqwwwqk4ddiv" w:colFirst="0" w:colLast="0"/>
      <w:bookmarkEnd w:id="9"/>
      <w:r>
        <w:lastRenderedPageBreak/>
        <w:t>6.- Control de Proyectos</w:t>
      </w:r>
    </w:p>
    <w:p w:rsidR="0020789D" w:rsidRDefault="00C97179">
      <w:pPr>
        <w:rPr>
          <w:rFonts w:ascii="Roboto" w:eastAsia="Roboto" w:hAnsi="Roboto" w:cs="Roboto"/>
        </w:rPr>
      </w:pPr>
      <w:r>
        <w:rPr>
          <w:rFonts w:ascii="Roboto" w:eastAsia="Roboto" w:hAnsi="Roboto" w:cs="Roboto"/>
        </w:rPr>
        <w:t xml:space="preserve">El objetivo propósito del control de proyectos. Tres tipos de control de proyectos. Diseños de sistemas de control. Control como una </w:t>
      </w:r>
      <w:r>
        <w:rPr>
          <w:rFonts w:ascii="Roboto" w:eastAsia="Roboto" w:hAnsi="Roboto" w:cs="Roboto"/>
        </w:rPr>
        <w:t>función del director. Balance en los sistemas de control. El control y las actividades creativas. Control de cambios y objetivos. Control de acuerdo a los objetivos.</w:t>
      </w:r>
    </w:p>
    <w:p w:rsidR="0020789D" w:rsidRDefault="00C97179">
      <w:pPr>
        <w:pStyle w:val="Ttulo2"/>
        <w:jc w:val="center"/>
      </w:pPr>
      <w:bookmarkStart w:id="10" w:name="_vgxm2aidz894" w:colFirst="0" w:colLast="0"/>
      <w:bookmarkEnd w:id="10"/>
      <w:r>
        <w:t>PARTE III - FINALIZACIÓN DE PROYECTOS</w:t>
      </w:r>
    </w:p>
    <w:p w:rsidR="0020789D" w:rsidRDefault="00C97179">
      <w:pPr>
        <w:pStyle w:val="Ttulo2"/>
      </w:pPr>
      <w:bookmarkStart w:id="11" w:name="_neo5khybxelg" w:colFirst="0" w:colLast="0"/>
      <w:bookmarkEnd w:id="11"/>
      <w:r>
        <w:t xml:space="preserve">7.- Auditoría de Proyectos </w:t>
      </w:r>
    </w:p>
    <w:p w:rsidR="0020789D" w:rsidRDefault="00C97179">
      <w:pPr>
        <w:rPr>
          <w:rFonts w:ascii="Roboto" w:eastAsia="Roboto" w:hAnsi="Roboto" w:cs="Roboto"/>
        </w:rPr>
      </w:pPr>
      <w:r>
        <w:rPr>
          <w:rFonts w:ascii="Roboto" w:eastAsia="Roboto" w:hAnsi="Roboto" w:cs="Roboto"/>
        </w:rPr>
        <w:t>Propósitos de la evaluac</w:t>
      </w:r>
      <w:r>
        <w:rPr>
          <w:rFonts w:ascii="Roboto" w:eastAsia="Roboto" w:hAnsi="Roboto" w:cs="Roboto"/>
        </w:rPr>
        <w:t>ión. Objetivos del sistema. Auditoria de proyecto. Construcción y uso de los reportes de auditoría. El ciclo de vida de las auditorías. Consideraciones especiales sobre la auditoría y la evaluación. Medición de objetivos. Valuación post proyecto.</w:t>
      </w:r>
    </w:p>
    <w:p w:rsidR="0020789D" w:rsidRDefault="00C97179">
      <w:pPr>
        <w:pStyle w:val="Ttulo2"/>
      </w:pPr>
      <w:bookmarkStart w:id="12" w:name="_ikivma2gks3l" w:colFirst="0" w:colLast="0"/>
      <w:bookmarkEnd w:id="12"/>
      <w:r>
        <w:t>8.- Etapa</w:t>
      </w:r>
      <w:r>
        <w:t xml:space="preserve"> Final del Proyecto </w:t>
      </w:r>
    </w:p>
    <w:p w:rsidR="0020789D" w:rsidRDefault="00C97179">
      <w:pPr>
        <w:rPr>
          <w:rFonts w:ascii="Roboto" w:eastAsia="Roboto" w:hAnsi="Roboto" w:cs="Roboto"/>
        </w:rPr>
      </w:pPr>
      <w:r>
        <w:rPr>
          <w:rFonts w:ascii="Roboto" w:eastAsia="Roboto" w:hAnsi="Roboto" w:cs="Roboto"/>
        </w:rPr>
        <w:t>Distintos tipos de etapas finales. Procesos de finalización. Toma de decisión y cuándo dar por terminado. Reporte final. La historia del proyecto.</w:t>
      </w:r>
    </w:p>
    <w:p w:rsidR="0020789D" w:rsidRDefault="00C97179">
      <w:pPr>
        <w:pStyle w:val="Ttulo2"/>
        <w:jc w:val="center"/>
      </w:pPr>
      <w:bookmarkStart w:id="13" w:name="_kdxbs3ao0a3e" w:colFirst="0" w:colLast="0"/>
      <w:bookmarkEnd w:id="13"/>
      <w:r>
        <w:t>PARTE IV - FINANCIAMIENTO DE PROYECTOS. PROTECCIONES E INCUBADORAS DE EMPRESAS</w:t>
      </w:r>
    </w:p>
    <w:p w:rsidR="0020789D" w:rsidRDefault="00C97179">
      <w:pPr>
        <w:pStyle w:val="Ttulo2"/>
      </w:pPr>
      <w:bookmarkStart w:id="14" w:name="_jp20wke3i55u" w:colFirst="0" w:colLast="0"/>
      <w:bookmarkEnd w:id="14"/>
      <w:r>
        <w:t>9.- Formu</w:t>
      </w:r>
      <w:r>
        <w:t>lación de Proyectos Innovadores</w:t>
      </w:r>
    </w:p>
    <w:p w:rsidR="0020789D" w:rsidRDefault="00C97179">
      <w:pPr>
        <w:rPr>
          <w:rFonts w:ascii="Roboto" w:eastAsia="Roboto" w:hAnsi="Roboto" w:cs="Roboto"/>
        </w:rPr>
      </w:pPr>
      <w:r>
        <w:rPr>
          <w:rFonts w:ascii="Roboto" w:eastAsia="Roboto" w:hAnsi="Roboto" w:cs="Roboto"/>
        </w:rPr>
        <w:t>Formulación. Antecedentes. Justificación. Gestión Administración duración y cierre. TIR. Control y Evaluación de Proyectos de Innovación Tecnológica. Oportunidades y Nichos de Mercado.</w:t>
      </w:r>
    </w:p>
    <w:p w:rsidR="0020789D" w:rsidRDefault="00C97179">
      <w:pPr>
        <w:pStyle w:val="Ttulo2"/>
      </w:pPr>
      <w:bookmarkStart w:id="15" w:name="_te47g8p68goz" w:colFirst="0" w:colLast="0"/>
      <w:bookmarkEnd w:id="15"/>
      <w:r>
        <w:t xml:space="preserve">10.- Organismos de CyT - </w:t>
      </w:r>
      <w:r>
        <w:t xml:space="preserve">Mecanismos de </w:t>
      </w:r>
      <w:r>
        <w:t xml:space="preserve">financiamiento. SETCIP </w:t>
      </w:r>
    </w:p>
    <w:p w:rsidR="0020789D" w:rsidRDefault="00C97179">
      <w:pPr>
        <w:rPr>
          <w:rFonts w:ascii="Roboto" w:eastAsia="Roboto" w:hAnsi="Roboto" w:cs="Roboto"/>
        </w:rPr>
      </w:pPr>
      <w:r>
        <w:rPr>
          <w:rFonts w:ascii="Roboto" w:eastAsia="Roboto" w:hAnsi="Roboto" w:cs="Roboto"/>
        </w:rPr>
        <w:t xml:space="preserve">Orígenes. Desarrollo. Evolución. Sistema actual. Plan Plurianual de Ciencia y Tecnología. </w:t>
      </w:r>
      <w:r>
        <w:rPr>
          <w:rFonts w:ascii="Roboto" w:eastAsia="Roboto" w:hAnsi="Roboto" w:cs="Roboto"/>
          <w:b/>
        </w:rPr>
        <w:t>GACTEC</w:t>
      </w:r>
      <w:r>
        <w:rPr>
          <w:rFonts w:ascii="Roboto" w:eastAsia="Roboto" w:hAnsi="Roboto" w:cs="Roboto"/>
        </w:rPr>
        <w:t xml:space="preserve"> Quienes lo forman. Por qué la Ciencia y la Tecnología cortan transversalmente a los distintos sectores. </w:t>
      </w:r>
      <w:r>
        <w:rPr>
          <w:rFonts w:ascii="Roboto" w:eastAsia="Roboto" w:hAnsi="Roboto" w:cs="Roboto"/>
          <w:b/>
        </w:rPr>
        <w:t>ANPCYT</w:t>
      </w:r>
      <w:r>
        <w:rPr>
          <w:rFonts w:ascii="Roboto" w:eastAsia="Roboto" w:hAnsi="Roboto" w:cs="Roboto"/>
        </w:rPr>
        <w:t xml:space="preserve"> sus dos fondos </w:t>
      </w:r>
      <w:r>
        <w:rPr>
          <w:rFonts w:ascii="Roboto" w:eastAsia="Roboto" w:hAnsi="Roboto" w:cs="Roboto"/>
          <w:b/>
        </w:rPr>
        <w:t>FONCYT</w:t>
      </w:r>
      <w:r>
        <w:rPr>
          <w:rFonts w:ascii="Roboto" w:eastAsia="Roboto" w:hAnsi="Roboto" w:cs="Roboto"/>
        </w:rPr>
        <w:t xml:space="preserve"> y </w:t>
      </w:r>
      <w:r>
        <w:rPr>
          <w:rFonts w:ascii="Roboto" w:eastAsia="Roboto" w:hAnsi="Roboto" w:cs="Roboto"/>
          <w:b/>
        </w:rPr>
        <w:t>FONTAR</w:t>
      </w:r>
      <w:r>
        <w:rPr>
          <w:rFonts w:ascii="Roboto" w:eastAsia="Roboto" w:hAnsi="Roboto" w:cs="Roboto"/>
        </w:rPr>
        <w:t xml:space="preserve">. Por qué separar las políticas de la Promoción y de la Ejecución. </w:t>
      </w:r>
      <w:r>
        <w:rPr>
          <w:rFonts w:ascii="Roboto" w:eastAsia="Roboto" w:hAnsi="Roboto" w:cs="Roboto"/>
          <w:b/>
        </w:rPr>
        <w:t>CONICET</w:t>
      </w:r>
      <w:r>
        <w:rPr>
          <w:rFonts w:ascii="Roboto" w:eastAsia="Roboto" w:hAnsi="Roboto" w:cs="Roboto"/>
        </w:rPr>
        <w:t xml:space="preserve">. Orígenes. Desarrollo. Organigrama. Programas. </w:t>
      </w:r>
      <w:r>
        <w:rPr>
          <w:rFonts w:ascii="Roboto" w:eastAsia="Roboto" w:hAnsi="Roboto" w:cs="Roboto"/>
          <w:b/>
        </w:rPr>
        <w:t>INTI, INTA, CNEA, INVAP, CONAE, INIDEP, CITEFA</w:t>
      </w:r>
      <w:r>
        <w:rPr>
          <w:rFonts w:ascii="Roboto" w:eastAsia="Roboto" w:hAnsi="Roboto" w:cs="Roboto"/>
        </w:rPr>
        <w:t xml:space="preserve">, otros. Mecanismos de financiamiento por parte de las Instituciones anteriores a </w:t>
      </w:r>
      <w:r>
        <w:rPr>
          <w:rFonts w:ascii="Roboto" w:eastAsia="Roboto" w:hAnsi="Roboto" w:cs="Roboto"/>
        </w:rPr>
        <w:t>Proyectos Tecnológicos.</w:t>
      </w:r>
    </w:p>
    <w:p w:rsidR="0020789D" w:rsidRDefault="00C97179">
      <w:pPr>
        <w:pStyle w:val="Ttulo2"/>
      </w:pPr>
      <w:bookmarkStart w:id="16" w:name="_js8r9x3o1nw8" w:colFirst="0" w:colLast="0"/>
      <w:bookmarkEnd w:id="16"/>
      <w:r>
        <w:t>11.- Promoción de la Innovación</w:t>
      </w:r>
    </w:p>
    <w:p w:rsidR="0020789D" w:rsidRDefault="00C97179">
      <w:pPr>
        <w:rPr>
          <w:rFonts w:ascii="Roboto" w:eastAsia="Roboto" w:hAnsi="Roboto" w:cs="Roboto"/>
        </w:rPr>
      </w:pPr>
      <w:r>
        <w:rPr>
          <w:rFonts w:ascii="Roboto" w:eastAsia="Roboto" w:hAnsi="Roboto" w:cs="Roboto"/>
        </w:rPr>
        <w:t>Ley 23877 "Promoción y Fomento de la Innovación Tecnológica". Glosario. Antecedentes. Orígenes (1990). Reglamentación (1992). Decretos reglamentarios. El consejo Consultivo. Iniciativas para la promoc</w:t>
      </w:r>
      <w:r>
        <w:rPr>
          <w:rFonts w:ascii="Roboto" w:eastAsia="Roboto" w:hAnsi="Roboto" w:cs="Roboto"/>
        </w:rPr>
        <w:t>ión y Fomento de la Innovación: Financieras, Fiscales, No financieras y Especiales. Federalización. Jurisdicciones Provinciales</w:t>
      </w:r>
    </w:p>
    <w:p w:rsidR="0020789D" w:rsidRDefault="00C97179">
      <w:pPr>
        <w:pStyle w:val="Ttulo2"/>
      </w:pPr>
      <w:bookmarkStart w:id="17" w:name="_7q0th7bn5cz2" w:colFirst="0" w:colLast="0"/>
      <w:bookmarkEnd w:id="17"/>
      <w:r>
        <w:t>12.- Protecciones. Patentes</w:t>
      </w:r>
    </w:p>
    <w:p w:rsidR="0020789D" w:rsidRDefault="00C97179">
      <w:pPr>
        <w:rPr>
          <w:rFonts w:ascii="Roboto" w:eastAsia="Roboto" w:hAnsi="Roboto" w:cs="Roboto"/>
        </w:rPr>
      </w:pPr>
      <w:r>
        <w:rPr>
          <w:rFonts w:ascii="Roboto" w:eastAsia="Roboto" w:hAnsi="Roboto" w:cs="Roboto"/>
        </w:rPr>
        <w:t>Modelos de Utilidad. Derechos de Obtentor. Marcas. Propiedad de los resultados de la Investigación. Propiedad Intelectual. Regalías. Contratos. Aspectos legales.</w:t>
      </w:r>
    </w:p>
    <w:p w:rsidR="0020789D" w:rsidRDefault="00C97179">
      <w:pPr>
        <w:pStyle w:val="Ttulo2"/>
      </w:pPr>
      <w:bookmarkStart w:id="18" w:name="_1y2fn9577rnk" w:colFirst="0" w:colLast="0"/>
      <w:bookmarkEnd w:id="18"/>
      <w:r>
        <w:lastRenderedPageBreak/>
        <w:t>13.- Incubadoras</w:t>
      </w:r>
    </w:p>
    <w:p w:rsidR="0020789D" w:rsidRDefault="00C97179">
      <w:pPr>
        <w:rPr>
          <w:rFonts w:ascii="Roboto" w:eastAsia="Roboto" w:hAnsi="Roboto" w:cs="Roboto"/>
        </w:rPr>
      </w:pPr>
      <w:r>
        <w:rPr>
          <w:rFonts w:ascii="Roboto" w:eastAsia="Roboto" w:hAnsi="Roboto" w:cs="Roboto"/>
        </w:rPr>
        <w:t>Conceptos básicos. Incubadoras de empresa de base tecnológica y productiva. E</w:t>
      </w:r>
      <w:r>
        <w:rPr>
          <w:rFonts w:ascii="Roboto" w:eastAsia="Roboto" w:hAnsi="Roboto" w:cs="Roboto"/>
        </w:rPr>
        <w:t>mprendedorismo. La incubadora virtual. El Proceso de incubación. Mortalidad infantil en empresas incubadas. Casos de estudio. Unidades de Vinculación Tecnológica. Orígenes: La Vinculación en el INTA. La oficina de Transferencia de Tecnología del CONICET. L</w:t>
      </w:r>
      <w:r>
        <w:rPr>
          <w:rFonts w:ascii="Roboto" w:eastAsia="Roboto" w:hAnsi="Roboto" w:cs="Roboto"/>
        </w:rPr>
        <w:t>a Ley de Innovación. Desarrollo. Expansión. Situación actual. Interfase Productiva. Su futuro. Estudio de Casos</w:t>
      </w:r>
    </w:p>
    <w:p w:rsidR="0020789D" w:rsidRDefault="0020789D">
      <w:pPr>
        <w:rPr>
          <w:rFonts w:ascii="Roboto" w:eastAsia="Roboto" w:hAnsi="Roboto" w:cs="Roboto"/>
        </w:rPr>
      </w:pPr>
    </w:p>
    <w:p w:rsidR="0020789D" w:rsidRDefault="00C97179">
      <w:pPr>
        <w:pStyle w:val="Ttulo2"/>
      </w:pPr>
      <w:bookmarkStart w:id="19" w:name="_5ts89gu6sbfc" w:colFirst="0" w:colLast="0"/>
      <w:bookmarkEnd w:id="19"/>
      <w:r>
        <w:t>BIBLIOGRAFÍA</w:t>
      </w:r>
    </w:p>
    <w:p w:rsidR="0020789D" w:rsidRDefault="00C97179">
      <w:pPr>
        <w:numPr>
          <w:ilvl w:val="0"/>
          <w:numId w:val="1"/>
        </w:numPr>
        <w:spacing w:after="80" w:line="273" w:lineRule="auto"/>
        <w:rPr>
          <w:rFonts w:ascii="Roboto" w:eastAsia="Roboto" w:hAnsi="Roboto" w:cs="Roboto"/>
        </w:rPr>
      </w:pPr>
      <w:r>
        <w:rPr>
          <w:rFonts w:ascii="Roboto" w:eastAsia="Roboto" w:hAnsi="Roboto" w:cs="Roboto"/>
        </w:rPr>
        <w:t>Apuntes de la Cátedra: Trabajo en Equipos, Estudio de los Procesos y Documentación.</w:t>
      </w:r>
    </w:p>
    <w:p w:rsidR="0020789D" w:rsidRDefault="00C97179">
      <w:pPr>
        <w:numPr>
          <w:ilvl w:val="0"/>
          <w:numId w:val="1"/>
        </w:numPr>
        <w:spacing w:after="80" w:line="273" w:lineRule="auto"/>
        <w:rPr>
          <w:rFonts w:ascii="Roboto" w:eastAsia="Roboto" w:hAnsi="Roboto" w:cs="Roboto"/>
        </w:rPr>
      </w:pPr>
      <w:r>
        <w:rPr>
          <w:rFonts w:ascii="Roboto" w:eastAsia="Roboto" w:hAnsi="Roboto" w:cs="Roboto"/>
        </w:rPr>
        <w:t>Meredith, J.R. Mantel, S.J, "Project Managemen</w:t>
      </w:r>
      <w:r>
        <w:rPr>
          <w:rFonts w:ascii="Roboto" w:eastAsia="Roboto" w:hAnsi="Roboto" w:cs="Roboto"/>
        </w:rPr>
        <w:t>t, a managerial approach" 4th ed., J. Wiley &amp; Sons, 2000.</w:t>
      </w:r>
    </w:p>
    <w:p w:rsidR="0020789D" w:rsidRDefault="00C97179">
      <w:pPr>
        <w:numPr>
          <w:ilvl w:val="0"/>
          <w:numId w:val="1"/>
        </w:numPr>
        <w:spacing w:after="80" w:line="273" w:lineRule="auto"/>
        <w:rPr>
          <w:rFonts w:ascii="Roboto" w:eastAsia="Roboto" w:hAnsi="Roboto" w:cs="Roboto"/>
        </w:rPr>
      </w:pPr>
      <w:r>
        <w:rPr>
          <w:rFonts w:ascii="Roboto" w:eastAsia="Roboto" w:hAnsi="Roboto" w:cs="Roboto"/>
        </w:rPr>
        <w:t>Frame, J. D., "La nueva dirección de proyectos", Granica ediciones, 2000.</w:t>
      </w:r>
    </w:p>
    <w:p w:rsidR="0020789D" w:rsidRDefault="00C97179">
      <w:pPr>
        <w:numPr>
          <w:ilvl w:val="0"/>
          <w:numId w:val="1"/>
        </w:numPr>
        <w:spacing w:after="80" w:line="273" w:lineRule="auto"/>
        <w:rPr>
          <w:rFonts w:ascii="Roboto" w:eastAsia="Roboto" w:hAnsi="Roboto" w:cs="Roboto"/>
        </w:rPr>
      </w:pPr>
      <w:r>
        <w:rPr>
          <w:rFonts w:ascii="Roboto" w:eastAsia="Roboto" w:hAnsi="Roboto" w:cs="Roboto"/>
        </w:rPr>
        <w:t>PMI Standard Committee, "A Guide to the Project Management Body of Knowledge, PMBOK", Project Management Institute, 1996.</w:t>
      </w:r>
    </w:p>
    <w:p w:rsidR="0020789D" w:rsidRDefault="00C97179">
      <w:pPr>
        <w:numPr>
          <w:ilvl w:val="0"/>
          <w:numId w:val="1"/>
        </w:numPr>
        <w:spacing w:after="80" w:line="273" w:lineRule="auto"/>
        <w:rPr>
          <w:rFonts w:ascii="Roboto" w:eastAsia="Roboto" w:hAnsi="Roboto" w:cs="Roboto"/>
        </w:rPr>
      </w:pPr>
      <w:r>
        <w:rPr>
          <w:rFonts w:ascii="Roboto" w:eastAsia="Roboto" w:hAnsi="Roboto" w:cs="Roboto"/>
        </w:rPr>
        <w:t>Se</w:t>
      </w:r>
      <w:r>
        <w:rPr>
          <w:rFonts w:ascii="Roboto" w:eastAsia="Roboto" w:hAnsi="Roboto" w:cs="Roboto"/>
        </w:rPr>
        <w:t>nge, P.M:, "La quinta disciplina", Granica ediciones, 1998.</w:t>
      </w:r>
    </w:p>
    <w:p w:rsidR="0020789D" w:rsidRDefault="00C97179">
      <w:pPr>
        <w:numPr>
          <w:ilvl w:val="0"/>
          <w:numId w:val="1"/>
        </w:numPr>
        <w:spacing w:after="80" w:line="273" w:lineRule="auto"/>
        <w:rPr>
          <w:rFonts w:ascii="Roboto" w:eastAsia="Roboto" w:hAnsi="Roboto" w:cs="Roboto"/>
        </w:rPr>
      </w:pPr>
      <w:r>
        <w:rPr>
          <w:rFonts w:ascii="Roboto" w:eastAsia="Roboto" w:hAnsi="Roboto" w:cs="Roboto"/>
        </w:rPr>
        <w:t>Marks, P., Riley, K., "Aligning Technology, for best business results", Design Insight, 1995.</w:t>
      </w:r>
    </w:p>
    <w:p w:rsidR="0020789D" w:rsidRDefault="00C97179">
      <w:pPr>
        <w:numPr>
          <w:ilvl w:val="0"/>
          <w:numId w:val="1"/>
        </w:numPr>
        <w:spacing w:after="80" w:line="273" w:lineRule="auto"/>
        <w:rPr>
          <w:rFonts w:ascii="Roboto" w:eastAsia="Roboto" w:hAnsi="Roboto" w:cs="Roboto"/>
        </w:rPr>
      </w:pPr>
      <w:r>
        <w:rPr>
          <w:rFonts w:ascii="Roboto" w:eastAsia="Roboto" w:hAnsi="Roboto" w:cs="Roboto"/>
        </w:rPr>
        <w:t>"Step by step Microsoft Project 98", Catapult and Microsoft Press.</w:t>
      </w:r>
    </w:p>
    <w:p w:rsidR="0020789D" w:rsidRDefault="00C97179">
      <w:pPr>
        <w:numPr>
          <w:ilvl w:val="0"/>
          <w:numId w:val="1"/>
        </w:numPr>
        <w:spacing w:after="80" w:line="273" w:lineRule="auto"/>
        <w:rPr>
          <w:rFonts w:ascii="Roboto" w:eastAsia="Roboto" w:hAnsi="Roboto" w:cs="Roboto"/>
        </w:rPr>
      </w:pPr>
      <w:r>
        <w:rPr>
          <w:rFonts w:ascii="Roboto" w:eastAsia="Roboto" w:hAnsi="Roboto" w:cs="Roboto"/>
        </w:rPr>
        <w:t>Silverman, M. "Project Management",</w:t>
      </w:r>
      <w:r>
        <w:rPr>
          <w:rFonts w:ascii="Roboto" w:eastAsia="Roboto" w:hAnsi="Roboto" w:cs="Roboto"/>
        </w:rPr>
        <w:t xml:space="preserve"> 2nd ed. New York, J. Wiley &amp; Sons, 1998.</w:t>
      </w:r>
    </w:p>
    <w:p w:rsidR="0020789D" w:rsidRDefault="00C97179">
      <w:pPr>
        <w:numPr>
          <w:ilvl w:val="0"/>
          <w:numId w:val="1"/>
        </w:numPr>
        <w:spacing w:after="80" w:line="273" w:lineRule="auto"/>
        <w:rPr>
          <w:rFonts w:ascii="Roboto" w:eastAsia="Roboto" w:hAnsi="Roboto" w:cs="Roboto"/>
        </w:rPr>
      </w:pPr>
      <w:r>
        <w:rPr>
          <w:rFonts w:ascii="Roboto" w:eastAsia="Roboto" w:hAnsi="Roboto" w:cs="Roboto"/>
        </w:rPr>
        <w:t>Roman, D.D., "Managing projects: a system approach", Elsevier, 1986.</w:t>
      </w:r>
    </w:p>
    <w:p w:rsidR="0020789D" w:rsidRDefault="00C97179">
      <w:pPr>
        <w:numPr>
          <w:ilvl w:val="0"/>
          <w:numId w:val="1"/>
        </w:numPr>
        <w:spacing w:after="80" w:line="273" w:lineRule="auto"/>
        <w:rPr>
          <w:rFonts w:ascii="Roboto" w:eastAsia="Roboto" w:hAnsi="Roboto" w:cs="Roboto"/>
        </w:rPr>
      </w:pPr>
      <w:r>
        <w:rPr>
          <w:rFonts w:ascii="Roboto" w:eastAsia="Roboto" w:hAnsi="Roboto" w:cs="Roboto"/>
        </w:rPr>
        <w:t>Shtub, A., Bard, J.F., Globerson, S., "Project Management, Engineering, Technology an Implementation", Prentice Hall, 1994.</w:t>
      </w:r>
    </w:p>
    <w:p w:rsidR="0020789D" w:rsidRDefault="00C97179">
      <w:pPr>
        <w:numPr>
          <w:ilvl w:val="0"/>
          <w:numId w:val="1"/>
        </w:numPr>
        <w:spacing w:after="80" w:line="273" w:lineRule="auto"/>
        <w:rPr>
          <w:rFonts w:ascii="Roboto" w:eastAsia="Roboto" w:hAnsi="Roboto" w:cs="Roboto"/>
        </w:rPr>
      </w:pPr>
      <w:r>
        <w:rPr>
          <w:rFonts w:ascii="Roboto" w:eastAsia="Roboto" w:hAnsi="Roboto" w:cs="Roboto"/>
        </w:rPr>
        <w:t>"</w:t>
      </w:r>
      <w:r>
        <w:rPr>
          <w:rFonts w:ascii="Roboto" w:eastAsia="Roboto" w:hAnsi="Roboto" w:cs="Roboto"/>
        </w:rPr>
        <w:t>Work Breakdown Structure, reference guide", Program/Project Management Series, National Aeronautics and Space Administration, NASA, 1994.</w:t>
      </w:r>
    </w:p>
    <w:p w:rsidR="0020789D" w:rsidRDefault="00C97179">
      <w:pPr>
        <w:numPr>
          <w:ilvl w:val="0"/>
          <w:numId w:val="1"/>
        </w:numPr>
        <w:spacing w:after="80" w:line="273" w:lineRule="auto"/>
        <w:rPr>
          <w:rFonts w:ascii="Roboto" w:eastAsia="Roboto" w:hAnsi="Roboto" w:cs="Roboto"/>
        </w:rPr>
      </w:pPr>
      <w:r>
        <w:rPr>
          <w:rFonts w:ascii="Roboto" w:eastAsia="Roboto" w:hAnsi="Roboto" w:cs="Roboto"/>
        </w:rPr>
        <w:t xml:space="preserve">Kleiner, B, Newcomb, J.F. "NEAR Project, Rendezvous eight Faster, Better, Cheaper NASA Project", national Aeronautics </w:t>
      </w:r>
      <w:r>
        <w:rPr>
          <w:rFonts w:ascii="Roboto" w:eastAsia="Roboto" w:hAnsi="Roboto" w:cs="Roboto"/>
        </w:rPr>
        <w:t>and Space Administration, NASA, Virginia Polytechnic Institute and State University and Scientific Management, Inc. 1998.</w:t>
      </w:r>
    </w:p>
    <w:p w:rsidR="0020789D" w:rsidRDefault="00C97179">
      <w:pPr>
        <w:numPr>
          <w:ilvl w:val="0"/>
          <w:numId w:val="1"/>
        </w:numPr>
        <w:spacing w:after="80" w:line="273" w:lineRule="auto"/>
        <w:rPr>
          <w:rFonts w:ascii="Roboto" w:eastAsia="Roboto" w:hAnsi="Roboto" w:cs="Roboto"/>
        </w:rPr>
      </w:pPr>
      <w:r>
        <w:rPr>
          <w:rFonts w:ascii="Roboto" w:eastAsia="Roboto" w:hAnsi="Roboto" w:cs="Roboto"/>
        </w:rPr>
        <w:t>Grenville, D., Kleiner, B, Newcomb, J.F., "AGATE, The turning point for general Aviation. General Aviation Task Report", National Aero</w:t>
      </w:r>
      <w:r>
        <w:rPr>
          <w:rFonts w:ascii="Roboto" w:eastAsia="Roboto" w:hAnsi="Roboto" w:cs="Roboto"/>
        </w:rPr>
        <w:t>nautics and Space Administration, NASA, Virginia Polytechnic and State University and Scientific Management, Inc. 1993.</w:t>
      </w:r>
    </w:p>
    <w:p w:rsidR="0020789D" w:rsidRDefault="00C97179">
      <w:pPr>
        <w:numPr>
          <w:ilvl w:val="0"/>
          <w:numId w:val="1"/>
        </w:numPr>
        <w:spacing w:after="80" w:line="273" w:lineRule="auto"/>
        <w:rPr>
          <w:rFonts w:ascii="Roboto" w:eastAsia="Roboto" w:hAnsi="Roboto" w:cs="Roboto"/>
        </w:rPr>
      </w:pPr>
      <w:r>
        <w:rPr>
          <w:rFonts w:ascii="Roboto" w:eastAsia="Roboto" w:hAnsi="Roboto" w:cs="Roboto"/>
        </w:rPr>
        <w:t xml:space="preserve">Thepvongs, S., Kleiner, B, Newcomb, J.F, "High Speed research, Programmatic focus on Flight for the Next Century", National Aeronautics </w:t>
      </w:r>
      <w:r>
        <w:rPr>
          <w:rFonts w:ascii="Roboto" w:eastAsia="Roboto" w:hAnsi="Roboto" w:cs="Roboto"/>
        </w:rPr>
        <w:t>and Space Administration, NASA, Virginia polytechnic Institute and State University and Scientific Management, Inc. 1997.</w:t>
      </w:r>
    </w:p>
    <w:p w:rsidR="0020789D" w:rsidRDefault="00C97179">
      <w:pPr>
        <w:numPr>
          <w:ilvl w:val="0"/>
          <w:numId w:val="1"/>
        </w:numPr>
        <w:spacing w:after="80" w:line="273" w:lineRule="auto"/>
        <w:rPr>
          <w:rFonts w:ascii="Roboto" w:eastAsia="Roboto" w:hAnsi="Roboto" w:cs="Roboto"/>
        </w:rPr>
      </w:pPr>
      <w:r>
        <w:rPr>
          <w:rFonts w:ascii="Roboto" w:eastAsia="Roboto" w:hAnsi="Roboto" w:cs="Roboto"/>
        </w:rPr>
        <w:t>Grenville, D., Kleiner, B, Newcomb, J.F., "M.S.T.I., optimizing the whole system" National Aeronautics and Space Administration, NASA,</w:t>
      </w:r>
      <w:r>
        <w:rPr>
          <w:rFonts w:ascii="Roboto" w:eastAsia="Roboto" w:hAnsi="Roboto" w:cs="Roboto"/>
        </w:rPr>
        <w:t xml:space="preserve"> Virginia polytechnic Institute and State University and Scientific Management, Inc. 1995.</w:t>
      </w:r>
    </w:p>
    <w:p w:rsidR="0020789D" w:rsidRDefault="00C97179">
      <w:pPr>
        <w:numPr>
          <w:ilvl w:val="0"/>
          <w:numId w:val="1"/>
        </w:numPr>
        <w:spacing w:after="80" w:line="273" w:lineRule="auto"/>
        <w:rPr>
          <w:rFonts w:ascii="Roboto" w:eastAsia="Roboto" w:hAnsi="Roboto" w:cs="Roboto"/>
        </w:rPr>
      </w:pPr>
      <w:r>
        <w:rPr>
          <w:rFonts w:ascii="Roboto" w:eastAsia="Roboto" w:hAnsi="Roboto" w:cs="Roboto"/>
        </w:rPr>
        <w:lastRenderedPageBreak/>
        <w:t>Comisión Europea "El libro Verde de la Innovación"</w:t>
      </w:r>
    </w:p>
    <w:p w:rsidR="0020789D" w:rsidRDefault="00C97179">
      <w:pPr>
        <w:numPr>
          <w:ilvl w:val="0"/>
          <w:numId w:val="1"/>
        </w:numPr>
        <w:spacing w:after="80" w:line="273" w:lineRule="auto"/>
        <w:rPr>
          <w:rFonts w:ascii="Roboto" w:eastAsia="Roboto" w:hAnsi="Roboto" w:cs="Roboto"/>
        </w:rPr>
      </w:pPr>
      <w:r>
        <w:rPr>
          <w:rFonts w:ascii="Roboto" w:eastAsia="Roboto" w:hAnsi="Roboto" w:cs="Roboto"/>
        </w:rPr>
        <w:t>Comisión de Industria – H. Senado de la Nación "Ley de Patentes y Modelos de Utilidad" 1993</w:t>
      </w:r>
    </w:p>
    <w:p w:rsidR="0020789D" w:rsidRDefault="00C97179">
      <w:pPr>
        <w:numPr>
          <w:ilvl w:val="0"/>
          <w:numId w:val="1"/>
        </w:numPr>
        <w:spacing w:after="80" w:line="273" w:lineRule="auto"/>
        <w:rPr>
          <w:rFonts w:ascii="Roboto" w:eastAsia="Roboto" w:hAnsi="Roboto" w:cs="Roboto"/>
        </w:rPr>
      </w:pPr>
      <w:r>
        <w:rPr>
          <w:rFonts w:ascii="Roboto" w:eastAsia="Roboto" w:hAnsi="Roboto" w:cs="Roboto"/>
        </w:rPr>
        <w:t>J.C. Del Bello "Las Po</w:t>
      </w:r>
      <w:r>
        <w:rPr>
          <w:rFonts w:ascii="Roboto" w:eastAsia="Roboto" w:hAnsi="Roboto" w:cs="Roboto"/>
        </w:rPr>
        <w:t>líticas de Ciencia, Tecnología e Innovación en la Argentina". Seminario Internacional – Políticas para fortalecer el Sistema Nacional de Ciencia y Tecnología e Innovación.</w:t>
      </w:r>
    </w:p>
    <w:p w:rsidR="0020789D" w:rsidRDefault="0020789D">
      <w:pPr>
        <w:spacing w:after="80" w:line="273" w:lineRule="auto"/>
        <w:rPr>
          <w:rFonts w:ascii="Roboto" w:eastAsia="Roboto" w:hAnsi="Roboto" w:cs="Roboto"/>
        </w:rPr>
      </w:pPr>
    </w:p>
    <w:sectPr w:rsidR="0020789D">
      <w:headerReference w:type="default" r:id="rId7"/>
      <w:footerReference w:type="default" r:id="rId8"/>
      <w:headerReference w:type="first" r:id="rId9"/>
      <w:footerReference w:type="first" r:id="rId10"/>
      <w:pgSz w:w="11906" w:h="16838"/>
      <w:pgMar w:top="1133" w:right="1133" w:bottom="1133" w:left="1133" w:header="566" w:footer="566"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97179" w:rsidRDefault="00C97179">
      <w:pPr>
        <w:spacing w:line="240" w:lineRule="auto"/>
      </w:pPr>
      <w:r>
        <w:separator/>
      </w:r>
    </w:p>
  </w:endnote>
  <w:endnote w:type="continuationSeparator" w:id="0">
    <w:p w:rsidR="00C97179" w:rsidRDefault="00C9717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2EF" w:usb1="5000205B" w:usb2="00000020" w:usb3="00000000" w:csb0="0000019F" w:csb1="00000000"/>
  </w:font>
  <w:font w:name="Lora">
    <w:charset w:val="00"/>
    <w:family w:val="auto"/>
    <w:pitch w:val="default"/>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789D" w:rsidRDefault="00C97179">
    <w:pPr>
      <w:jc w:val="right"/>
      <w:rPr>
        <w:rFonts w:ascii="Roboto" w:eastAsia="Roboto" w:hAnsi="Roboto" w:cs="Roboto"/>
        <w:color w:val="16A085"/>
      </w:rPr>
    </w:pPr>
    <w:r>
      <w:rPr>
        <w:rFonts w:ascii="Roboto" w:eastAsia="Roboto" w:hAnsi="Roboto" w:cs="Roboto"/>
        <w:color w:val="16A085"/>
      </w:rPr>
      <w:fldChar w:fldCharType="begin"/>
    </w:r>
    <w:r>
      <w:rPr>
        <w:rFonts w:ascii="Roboto" w:eastAsia="Roboto" w:hAnsi="Roboto" w:cs="Roboto"/>
        <w:color w:val="16A085"/>
      </w:rPr>
      <w:instrText>PAGE</w:instrText>
    </w:r>
    <w:r w:rsidR="00D3575C">
      <w:rPr>
        <w:rFonts w:ascii="Roboto" w:eastAsia="Roboto" w:hAnsi="Roboto" w:cs="Roboto"/>
        <w:color w:val="16A085"/>
      </w:rPr>
      <w:fldChar w:fldCharType="separate"/>
    </w:r>
    <w:r w:rsidR="00D3575C">
      <w:rPr>
        <w:rFonts w:ascii="Roboto" w:eastAsia="Roboto" w:hAnsi="Roboto" w:cs="Roboto"/>
        <w:noProof/>
        <w:color w:val="16A085"/>
      </w:rPr>
      <w:t>1</w:t>
    </w:r>
    <w:r>
      <w:rPr>
        <w:rFonts w:ascii="Roboto" w:eastAsia="Roboto" w:hAnsi="Roboto" w:cs="Roboto"/>
        <w:color w:val="16A085"/>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789D" w:rsidRDefault="00C97179">
    <w:pPr>
      <w:jc w:val="right"/>
      <w:rPr>
        <w:color w:val="16A085"/>
      </w:rPr>
    </w:pPr>
    <w:r>
      <w:rPr>
        <w:color w:val="16A085"/>
      </w:rPr>
      <w:fldChar w:fldCharType="begin"/>
    </w:r>
    <w:r>
      <w:rPr>
        <w:color w:val="16A085"/>
      </w:rPr>
      <w:instrText>PAGE</w:instrText>
    </w:r>
    <w:r>
      <w:rPr>
        <w:color w:val="16A085"/>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97179" w:rsidRDefault="00C97179">
      <w:pPr>
        <w:spacing w:line="240" w:lineRule="auto"/>
      </w:pPr>
      <w:r>
        <w:separator/>
      </w:r>
    </w:p>
  </w:footnote>
  <w:footnote w:type="continuationSeparator" w:id="0">
    <w:p w:rsidR="00C97179" w:rsidRDefault="00C97179">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789D" w:rsidRDefault="0020789D">
    <w:pPr>
      <w:spacing w:line="240" w:lineRule="auto"/>
      <w:rPr>
        <w:rFonts w:ascii="Roboto" w:eastAsia="Roboto" w:hAnsi="Roboto" w:cs="Roboto"/>
        <w:sz w:val="4"/>
        <w:szCs w:val="4"/>
      </w:rPr>
    </w:pPr>
  </w:p>
  <w:tbl>
    <w:tblPr>
      <w:tblStyle w:val="a0"/>
      <w:tblW w:w="9630" w:type="dxa"/>
      <w:jc w:val="center"/>
      <w:tblInd w:w="0" w:type="dxa"/>
      <w:tblLayout w:type="fixed"/>
      <w:tblLook w:val="0600" w:firstRow="0" w:lastRow="0" w:firstColumn="0" w:lastColumn="0" w:noHBand="1" w:noVBand="1"/>
    </w:tblPr>
    <w:tblGrid>
      <w:gridCol w:w="1245"/>
      <w:gridCol w:w="2550"/>
      <w:gridCol w:w="1275"/>
      <w:gridCol w:w="1350"/>
      <w:gridCol w:w="1230"/>
      <w:gridCol w:w="1980"/>
    </w:tblGrid>
    <w:tr w:rsidR="0020789D">
      <w:trPr>
        <w:trHeight w:val="1140"/>
        <w:jc w:val="center"/>
      </w:trPr>
      <w:tc>
        <w:tcPr>
          <w:tcW w:w="1245" w:type="dxa"/>
          <w:shd w:val="clear" w:color="auto" w:fill="auto"/>
          <w:tcMar>
            <w:top w:w="0" w:type="dxa"/>
            <w:left w:w="0" w:type="dxa"/>
            <w:bottom w:w="0" w:type="dxa"/>
            <w:right w:w="0" w:type="dxa"/>
          </w:tcMar>
          <w:vAlign w:val="center"/>
        </w:tcPr>
        <w:p w:rsidR="0020789D" w:rsidRDefault="00C97179">
          <w:pPr>
            <w:spacing w:after="40" w:line="264" w:lineRule="auto"/>
            <w:jc w:val="left"/>
            <w:rPr>
              <w:rFonts w:ascii="Lora" w:eastAsia="Lora" w:hAnsi="Lora" w:cs="Lora"/>
              <w:b/>
              <w:sz w:val="18"/>
              <w:szCs w:val="18"/>
            </w:rPr>
          </w:pPr>
          <w:r>
            <w:rPr>
              <w:rFonts w:ascii="Lora" w:eastAsia="Lora" w:hAnsi="Lora" w:cs="Lora"/>
              <w:b/>
              <w:noProof/>
              <w:sz w:val="18"/>
              <w:szCs w:val="18"/>
              <w:lang w:val="en-US"/>
            </w:rPr>
            <w:drawing>
              <wp:inline distT="114300" distB="114300" distL="114300" distR="114300">
                <wp:extent cx="762000" cy="617175"/>
                <wp:effectExtent l="0" t="0" r="0" b="0"/>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t="9031" b="9744"/>
                        <a:stretch>
                          <a:fillRect/>
                        </a:stretch>
                      </pic:blipFill>
                      <pic:spPr>
                        <a:xfrm>
                          <a:off x="0" y="0"/>
                          <a:ext cx="762000" cy="617175"/>
                        </a:xfrm>
                        <a:prstGeom prst="rect">
                          <a:avLst/>
                        </a:prstGeom>
                        <a:ln/>
                      </pic:spPr>
                    </pic:pic>
                  </a:graphicData>
                </a:graphic>
              </wp:inline>
            </w:drawing>
          </w:r>
        </w:p>
      </w:tc>
      <w:tc>
        <w:tcPr>
          <w:tcW w:w="2550" w:type="dxa"/>
          <w:shd w:val="clear" w:color="auto" w:fill="auto"/>
          <w:tcMar>
            <w:top w:w="0" w:type="dxa"/>
            <w:left w:w="0" w:type="dxa"/>
            <w:bottom w:w="0" w:type="dxa"/>
            <w:right w:w="0" w:type="dxa"/>
          </w:tcMar>
          <w:vAlign w:val="center"/>
        </w:tcPr>
        <w:p w:rsidR="0020789D" w:rsidRDefault="00C97179">
          <w:pPr>
            <w:widowControl w:val="0"/>
            <w:pBdr>
              <w:top w:val="nil"/>
              <w:left w:val="nil"/>
              <w:bottom w:val="nil"/>
              <w:right w:val="nil"/>
              <w:between w:val="nil"/>
            </w:pBdr>
            <w:spacing w:after="40" w:line="264" w:lineRule="auto"/>
            <w:jc w:val="center"/>
            <w:rPr>
              <w:rFonts w:ascii="Lora" w:eastAsia="Lora" w:hAnsi="Lora" w:cs="Lora"/>
              <w:sz w:val="18"/>
              <w:szCs w:val="18"/>
            </w:rPr>
          </w:pPr>
          <w:r>
            <w:rPr>
              <w:rFonts w:ascii="Lora" w:eastAsia="Lora" w:hAnsi="Lora" w:cs="Lora"/>
              <w:sz w:val="18"/>
              <w:szCs w:val="18"/>
            </w:rPr>
            <w:t>Departamento de Ingeniería Química y en Alimentos</w:t>
          </w:r>
        </w:p>
      </w:tc>
      <w:tc>
        <w:tcPr>
          <w:tcW w:w="1275" w:type="dxa"/>
          <w:shd w:val="clear" w:color="auto" w:fill="auto"/>
          <w:tcMar>
            <w:top w:w="0" w:type="dxa"/>
            <w:left w:w="0" w:type="dxa"/>
            <w:bottom w:w="0" w:type="dxa"/>
            <w:right w:w="0" w:type="dxa"/>
          </w:tcMar>
          <w:vAlign w:val="center"/>
        </w:tcPr>
        <w:p w:rsidR="0020789D" w:rsidRDefault="00C97179">
          <w:pPr>
            <w:spacing w:after="40" w:line="264" w:lineRule="auto"/>
            <w:jc w:val="right"/>
            <w:rPr>
              <w:rFonts w:ascii="Lora" w:eastAsia="Lora" w:hAnsi="Lora" w:cs="Lora"/>
              <w:sz w:val="18"/>
              <w:szCs w:val="18"/>
            </w:rPr>
          </w:pPr>
          <w:r>
            <w:rPr>
              <w:rFonts w:ascii="Lora" w:eastAsia="Lora" w:hAnsi="Lora" w:cs="Lora"/>
              <w:noProof/>
              <w:sz w:val="18"/>
              <w:szCs w:val="18"/>
              <w:lang w:val="en-US"/>
            </w:rPr>
            <w:drawing>
              <wp:inline distT="114300" distB="114300" distL="114300" distR="114300">
                <wp:extent cx="819150" cy="642938"/>
                <wp:effectExtent l="0" t="0" r="0" b="0"/>
                <wp:docPr id="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
                        <a:srcRect t="12790" b="8720"/>
                        <a:stretch>
                          <a:fillRect/>
                        </a:stretch>
                      </pic:blipFill>
                      <pic:spPr>
                        <a:xfrm>
                          <a:off x="0" y="0"/>
                          <a:ext cx="819150" cy="642938"/>
                        </a:xfrm>
                        <a:prstGeom prst="rect">
                          <a:avLst/>
                        </a:prstGeom>
                        <a:ln/>
                      </pic:spPr>
                    </pic:pic>
                  </a:graphicData>
                </a:graphic>
              </wp:inline>
            </w:drawing>
          </w:r>
        </w:p>
      </w:tc>
      <w:tc>
        <w:tcPr>
          <w:tcW w:w="1350" w:type="dxa"/>
          <w:shd w:val="clear" w:color="auto" w:fill="auto"/>
          <w:tcMar>
            <w:top w:w="0" w:type="dxa"/>
            <w:left w:w="0" w:type="dxa"/>
            <w:bottom w:w="0" w:type="dxa"/>
            <w:right w:w="0" w:type="dxa"/>
          </w:tcMar>
          <w:vAlign w:val="center"/>
        </w:tcPr>
        <w:p w:rsidR="0020789D" w:rsidRDefault="00C97179">
          <w:pPr>
            <w:widowControl w:val="0"/>
            <w:pBdr>
              <w:top w:val="nil"/>
              <w:left w:val="nil"/>
              <w:bottom w:val="nil"/>
              <w:right w:val="nil"/>
              <w:between w:val="nil"/>
            </w:pBdr>
            <w:spacing w:after="40" w:line="264" w:lineRule="auto"/>
            <w:jc w:val="center"/>
            <w:rPr>
              <w:rFonts w:ascii="Lora" w:eastAsia="Lora" w:hAnsi="Lora" w:cs="Lora"/>
              <w:sz w:val="18"/>
              <w:szCs w:val="18"/>
            </w:rPr>
          </w:pPr>
          <w:r>
            <w:rPr>
              <w:rFonts w:ascii="Lora" w:eastAsia="Lora" w:hAnsi="Lora" w:cs="Lora"/>
              <w:sz w:val="18"/>
              <w:szCs w:val="18"/>
            </w:rPr>
            <w:t>Facultad de Ingeniería</w:t>
          </w:r>
        </w:p>
      </w:tc>
      <w:tc>
        <w:tcPr>
          <w:tcW w:w="1230" w:type="dxa"/>
          <w:shd w:val="clear" w:color="auto" w:fill="auto"/>
          <w:tcMar>
            <w:top w:w="0" w:type="dxa"/>
            <w:left w:w="0" w:type="dxa"/>
            <w:bottom w:w="0" w:type="dxa"/>
            <w:right w:w="0" w:type="dxa"/>
          </w:tcMar>
          <w:vAlign w:val="center"/>
        </w:tcPr>
        <w:p w:rsidR="0020789D" w:rsidRDefault="00C97179">
          <w:pPr>
            <w:spacing w:after="40" w:line="264" w:lineRule="auto"/>
            <w:jc w:val="right"/>
            <w:rPr>
              <w:rFonts w:ascii="Lora" w:eastAsia="Lora" w:hAnsi="Lora" w:cs="Lora"/>
              <w:sz w:val="18"/>
              <w:szCs w:val="18"/>
            </w:rPr>
          </w:pPr>
          <w:r>
            <w:rPr>
              <w:rFonts w:ascii="Lora" w:eastAsia="Lora" w:hAnsi="Lora" w:cs="Lora"/>
              <w:noProof/>
              <w:sz w:val="18"/>
              <w:szCs w:val="18"/>
              <w:lang w:val="en-US"/>
            </w:rPr>
            <w:drawing>
              <wp:inline distT="114300" distB="114300" distL="114300" distR="114300">
                <wp:extent cx="544875" cy="544875"/>
                <wp:effectExtent l="0" t="0" r="0" b="0"/>
                <wp:docPr id="3"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3"/>
                        <a:srcRect/>
                        <a:stretch>
                          <a:fillRect/>
                        </a:stretch>
                      </pic:blipFill>
                      <pic:spPr>
                        <a:xfrm>
                          <a:off x="0" y="0"/>
                          <a:ext cx="544875" cy="544875"/>
                        </a:xfrm>
                        <a:prstGeom prst="rect">
                          <a:avLst/>
                        </a:prstGeom>
                        <a:ln/>
                      </pic:spPr>
                    </pic:pic>
                  </a:graphicData>
                </a:graphic>
              </wp:inline>
            </w:drawing>
          </w:r>
        </w:p>
      </w:tc>
      <w:tc>
        <w:tcPr>
          <w:tcW w:w="1980" w:type="dxa"/>
          <w:shd w:val="clear" w:color="auto" w:fill="auto"/>
          <w:tcMar>
            <w:top w:w="0" w:type="dxa"/>
            <w:left w:w="0" w:type="dxa"/>
            <w:bottom w:w="0" w:type="dxa"/>
            <w:right w:w="0" w:type="dxa"/>
          </w:tcMar>
          <w:vAlign w:val="center"/>
        </w:tcPr>
        <w:p w:rsidR="0020789D" w:rsidRDefault="00C97179">
          <w:pPr>
            <w:widowControl w:val="0"/>
            <w:pBdr>
              <w:top w:val="nil"/>
              <w:left w:val="nil"/>
              <w:bottom w:val="nil"/>
              <w:right w:val="nil"/>
              <w:between w:val="nil"/>
            </w:pBdr>
            <w:spacing w:after="40" w:line="264" w:lineRule="auto"/>
            <w:jc w:val="center"/>
            <w:rPr>
              <w:rFonts w:ascii="Lora" w:eastAsia="Lora" w:hAnsi="Lora" w:cs="Lora"/>
              <w:sz w:val="18"/>
              <w:szCs w:val="18"/>
            </w:rPr>
          </w:pPr>
          <w:r>
            <w:rPr>
              <w:rFonts w:ascii="Lora" w:eastAsia="Lora" w:hAnsi="Lora" w:cs="Lora"/>
              <w:sz w:val="18"/>
              <w:szCs w:val="18"/>
            </w:rPr>
            <w:t>Universidad Nacional de Mar del Plata</w:t>
          </w:r>
        </w:p>
      </w:tc>
    </w:tr>
  </w:tbl>
  <w:p w:rsidR="0020789D" w:rsidRDefault="00C97179">
    <w:pPr>
      <w:spacing w:line="240" w:lineRule="auto"/>
    </w:pPr>
    <w:r>
      <w:pict>
        <v:rect id="_x0000_i1026" style="width:0;height:1.5pt" o:hralign="center" o:hrstd="t" o:hr="t" fillcolor="#a0a0a0" stroked="f"/>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0789D" w:rsidRDefault="0020789D"/>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A48138A"/>
    <w:multiLevelType w:val="multilevel"/>
    <w:tmpl w:val="823CA0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789D"/>
    <w:rsid w:val="0020789D"/>
    <w:rsid w:val="00C97179"/>
    <w:rsid w:val="00D357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629CDF49-C58B-4799-845F-B59F8D7230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Arial" w:hAnsi="Arial" w:cs="Arial"/>
        <w:sz w:val="22"/>
        <w:szCs w:val="22"/>
        <w:lang w:val="es" w:eastAsia="en-US" w:bidi="ar-SA"/>
      </w:rPr>
    </w:rPrDefault>
    <w:pPrDefault>
      <w:pPr>
        <w:spacing w:line="276"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tulo1">
    <w:name w:val="heading 1"/>
    <w:basedOn w:val="Normal"/>
    <w:next w:val="Normal"/>
    <w:pPr>
      <w:keepNext/>
      <w:keepLines/>
      <w:spacing w:before="400" w:after="120"/>
      <w:jc w:val="center"/>
      <w:outlineLvl w:val="0"/>
    </w:pPr>
    <w:rPr>
      <w:rFonts w:ascii="Roboto" w:eastAsia="Roboto" w:hAnsi="Roboto" w:cs="Roboto"/>
      <w:b/>
      <w:color w:val="16A085"/>
      <w:sz w:val="32"/>
      <w:szCs w:val="32"/>
    </w:rPr>
  </w:style>
  <w:style w:type="paragraph" w:styleId="Ttulo2">
    <w:name w:val="heading 2"/>
    <w:basedOn w:val="Normal"/>
    <w:next w:val="Normal"/>
    <w:pPr>
      <w:keepNext/>
      <w:keepLines/>
      <w:spacing w:before="200" w:after="40" w:line="271" w:lineRule="auto"/>
      <w:outlineLvl w:val="1"/>
    </w:pPr>
    <w:rPr>
      <w:rFonts w:ascii="Roboto" w:eastAsia="Roboto" w:hAnsi="Roboto" w:cs="Roboto"/>
      <w:b/>
      <w:color w:val="16A085"/>
      <w:sz w:val="28"/>
      <w:szCs w:val="28"/>
    </w:rPr>
  </w:style>
  <w:style w:type="paragraph" w:styleId="Ttulo3">
    <w:name w:val="heading 3"/>
    <w:basedOn w:val="Normal"/>
    <w:next w:val="Normal"/>
    <w:pPr>
      <w:keepNext/>
      <w:keepLines/>
      <w:spacing w:before="320" w:after="80" w:line="273" w:lineRule="auto"/>
      <w:outlineLvl w:val="2"/>
    </w:pPr>
    <w:rPr>
      <w:rFonts w:ascii="Roboto" w:eastAsia="Roboto" w:hAnsi="Roboto" w:cs="Roboto"/>
      <w:b/>
      <w:i/>
      <w:color w:val="434343"/>
      <w:sz w:val="24"/>
      <w:szCs w:val="24"/>
    </w:rPr>
  </w:style>
  <w:style w:type="paragraph" w:styleId="Ttulo4">
    <w:name w:val="heading 4"/>
    <w:basedOn w:val="Normal"/>
    <w:next w:val="Normal"/>
    <w:pPr>
      <w:keepNext/>
      <w:keepLines/>
      <w:spacing w:before="280" w:after="80"/>
      <w:outlineLvl w:val="3"/>
    </w:pPr>
    <w:rPr>
      <w:color w:val="666666"/>
      <w:sz w:val="24"/>
      <w:szCs w:val="24"/>
    </w:rPr>
  </w:style>
  <w:style w:type="paragraph" w:styleId="Ttulo5">
    <w:name w:val="heading 5"/>
    <w:basedOn w:val="Normal"/>
    <w:next w:val="Normal"/>
    <w:pPr>
      <w:keepNext/>
      <w:keepLines/>
      <w:spacing w:before="240" w:after="80"/>
      <w:outlineLvl w:val="4"/>
    </w:pPr>
    <w:rPr>
      <w:color w:val="666666"/>
    </w:rPr>
  </w:style>
  <w:style w:type="paragraph" w:styleId="Ttulo6">
    <w:name w:val="heading 6"/>
    <w:basedOn w:val="Normal"/>
    <w:next w:val="Normal"/>
    <w:pPr>
      <w:keepNext/>
      <w:keepLines/>
      <w:spacing w:before="240" w:after="80"/>
      <w:outlineLvl w:val="5"/>
    </w:pPr>
    <w:rPr>
      <w:i/>
      <w:color w:val="66666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Puesto">
    <w:name w:val="Title"/>
    <w:basedOn w:val="Normal"/>
    <w:next w:val="Normal"/>
    <w:pPr>
      <w:keepNext/>
      <w:keepLines/>
      <w:spacing w:after="60"/>
    </w:pPr>
    <w:rPr>
      <w:sz w:val="52"/>
      <w:szCs w:val="52"/>
    </w:rPr>
  </w:style>
  <w:style w:type="paragraph" w:styleId="Subttulo">
    <w:name w:val="Subtitle"/>
    <w:basedOn w:val="Normal"/>
    <w:next w:val="Normal"/>
    <w:pPr>
      <w:keepNext/>
      <w:keepLines/>
      <w:spacing w:after="320"/>
    </w:pPr>
    <w:rPr>
      <w:color w:val="666666"/>
      <w:sz w:val="30"/>
      <w:szCs w:val="30"/>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1011</Words>
  <Characters>5766</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6764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dc:creator>
  <cp:lastModifiedBy>Ju</cp:lastModifiedBy>
  <cp:revision>2</cp:revision>
  <dcterms:created xsi:type="dcterms:W3CDTF">2019-03-10T21:34:00Z</dcterms:created>
  <dcterms:modified xsi:type="dcterms:W3CDTF">2019-03-10T21:34:00Z</dcterms:modified>
</cp:coreProperties>
</file>