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Roboto" w:cs="Roboto" w:eastAsia="Roboto" w:hAnsi="Roboto"/>
          <w:sz w:val="16"/>
          <w:szCs w:val="16"/>
        </w:rPr>
      </w:pPr>
      <w:r w:rsidDel="00000000" w:rsidR="00000000" w:rsidRPr="00000000">
        <w:rPr>
          <w:rtl w:val="0"/>
        </w:rPr>
      </w:r>
    </w:p>
    <w:tbl>
      <w:tblPr>
        <w:tblStyle w:val="Table1"/>
        <w:tblW w:w="9630.0" w:type="dxa"/>
        <w:jc w:val="center"/>
        <w:tblLayout w:type="fixed"/>
        <w:tblLook w:val="0600"/>
      </w:tblPr>
      <w:tblGrid>
        <w:gridCol w:w="1710"/>
        <w:gridCol w:w="5865"/>
        <w:gridCol w:w="855"/>
        <w:gridCol w:w="1200"/>
        <w:tblGridChange w:id="0">
          <w:tblGrid>
            <w:gridCol w:w="1710"/>
            <w:gridCol w:w="5865"/>
            <w:gridCol w:w="855"/>
            <w:gridCol w:w="1200"/>
          </w:tblGrid>
        </w:tblGridChange>
      </w:tblGrid>
      <w:tr>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2">
            <w:pPr>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CARRERA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Ingeniería Química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4">
            <w:pPr>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PLAN</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2003</w:t>
            </w:r>
          </w:p>
        </w:tc>
      </w:tr>
      <w:tr>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6">
            <w:pPr>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ASIGNATURA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Introducción al Desempeño Profesional</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8">
            <w:pPr>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COD.</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9">
            <w:pPr>
              <w:widowControl w:val="0"/>
              <w:spacing w:line="240" w:lineRule="auto"/>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1QH</w:t>
            </w:r>
          </w:p>
        </w:tc>
      </w:tr>
      <w:tr>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TIPO</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Obligatoria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tl w:val="0"/>
              </w:rPr>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tl w:val="0"/>
              </w:rPr>
            </w:r>
          </w:p>
        </w:tc>
      </w:tr>
    </w:tbl>
    <w:p w:rsidR="00000000" w:rsidDel="00000000" w:rsidP="00000000" w:rsidRDefault="00000000" w:rsidRPr="00000000" w14:paraId="0000000E">
      <w:pPr>
        <w:rPr>
          <w:rFonts w:ascii="Roboto" w:cs="Roboto" w:eastAsia="Roboto" w:hAnsi="Robo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F">
      <w:pPr>
        <w:pStyle w:val="Heading1"/>
        <w:rPr>
          <w:sz w:val="32"/>
          <w:szCs w:val="32"/>
        </w:rPr>
      </w:pPr>
      <w:bookmarkStart w:colFirst="0" w:colLast="0" w:name="_nddimbltco0o" w:id="0"/>
      <w:bookmarkEnd w:id="0"/>
      <w:r w:rsidDel="00000000" w:rsidR="00000000" w:rsidRPr="00000000">
        <w:rPr>
          <w:rtl w:val="0"/>
        </w:rPr>
        <w:t xml:space="preserve">PROGRAMA ANALÍTICO</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0">
      <w:pPr>
        <w:jc w:val="center"/>
        <w:rPr>
          <w:rFonts w:ascii="Roboto" w:cs="Roboto" w:eastAsia="Roboto" w:hAnsi="Roboto"/>
          <w:sz w:val="20"/>
          <w:szCs w:val="20"/>
        </w:rPr>
      </w:pPr>
      <w:r w:rsidDel="00000000" w:rsidR="00000000" w:rsidRPr="00000000">
        <w:rPr>
          <w:rFonts w:ascii="Roboto" w:cs="Roboto" w:eastAsia="Roboto" w:hAnsi="Roboto"/>
          <w:sz w:val="20"/>
          <w:szCs w:val="20"/>
          <w:rtl w:val="0"/>
        </w:rPr>
        <w:t xml:space="preserve">(A partir del Ciclo Lectivo 2017)</w:t>
      </w:r>
    </w:p>
    <w:p w:rsidR="00000000" w:rsidDel="00000000" w:rsidP="00000000" w:rsidRDefault="00000000" w:rsidRPr="00000000" w14:paraId="00000011">
      <w:pPr>
        <w:pStyle w:val="Heading2"/>
        <w:rPr/>
      </w:pPr>
      <w:bookmarkStart w:colFirst="0" w:colLast="0" w:name="_4hnzzq95vo9u" w:id="1"/>
      <w:bookmarkEnd w:id="1"/>
      <w:r w:rsidDel="00000000" w:rsidR="00000000" w:rsidRPr="00000000">
        <w:rPr>
          <w:rtl w:val="0"/>
        </w:rPr>
        <w:t xml:space="preserve">TEMA I.- El Ingeniero y el Desarrollo Profesional</w:t>
      </w:r>
    </w:p>
    <w:p w:rsidR="00000000" w:rsidDel="00000000" w:rsidP="00000000" w:rsidRDefault="00000000" w:rsidRPr="00000000" w14:paraId="00000012">
      <w:pPr>
        <w:rPr>
          <w:rFonts w:ascii="Roboto" w:cs="Roboto" w:eastAsia="Roboto" w:hAnsi="Roboto"/>
        </w:rPr>
      </w:pPr>
      <w:r w:rsidDel="00000000" w:rsidR="00000000" w:rsidRPr="00000000">
        <w:rPr>
          <w:rFonts w:ascii="Roboto" w:cs="Roboto" w:eastAsia="Roboto" w:hAnsi="Roboto"/>
          <w:rtl w:val="0"/>
        </w:rPr>
        <w:t xml:space="preserve">Definición de Ingeniería. Estructura de las Organizaciones. Posiciones. Roles.</w:t>
      </w:r>
    </w:p>
    <w:p w:rsidR="00000000" w:rsidDel="00000000" w:rsidP="00000000" w:rsidRDefault="00000000" w:rsidRPr="00000000" w14:paraId="00000013">
      <w:pPr>
        <w:pStyle w:val="Heading2"/>
        <w:rPr/>
      </w:pPr>
      <w:bookmarkStart w:colFirst="0" w:colLast="0" w:name="_wrbugwue3rj" w:id="2"/>
      <w:bookmarkEnd w:id="2"/>
      <w:r w:rsidDel="00000000" w:rsidR="00000000" w:rsidRPr="00000000">
        <w:rPr>
          <w:rtl w:val="0"/>
        </w:rPr>
        <w:t xml:space="preserve">TEMA II.- Caracterización de Roles Laborales.</w:t>
      </w:r>
    </w:p>
    <w:p w:rsidR="00000000" w:rsidDel="00000000" w:rsidP="00000000" w:rsidRDefault="00000000" w:rsidRPr="00000000" w14:paraId="00000014">
      <w:pPr>
        <w:rPr>
          <w:rFonts w:ascii="Roboto" w:cs="Roboto" w:eastAsia="Roboto" w:hAnsi="Roboto"/>
        </w:rPr>
      </w:pPr>
      <w:r w:rsidDel="00000000" w:rsidR="00000000" w:rsidRPr="00000000">
        <w:rPr>
          <w:rFonts w:ascii="Roboto" w:cs="Roboto" w:eastAsia="Roboto" w:hAnsi="Roboto"/>
          <w:rtl w:val="0"/>
        </w:rPr>
        <w:t xml:space="preserve">Teoría de Competencias. Relación entre competencias y funciones. Clasificación de Competencias. Competencias Transversales.</w:t>
      </w:r>
    </w:p>
    <w:p w:rsidR="00000000" w:rsidDel="00000000" w:rsidP="00000000" w:rsidRDefault="00000000" w:rsidRPr="00000000" w14:paraId="00000015">
      <w:pPr>
        <w:pStyle w:val="Heading2"/>
        <w:rPr/>
      </w:pPr>
      <w:bookmarkStart w:colFirst="0" w:colLast="0" w:name="_of8b3qhv7i8v" w:id="3"/>
      <w:bookmarkEnd w:id="3"/>
      <w:r w:rsidDel="00000000" w:rsidR="00000000" w:rsidRPr="00000000">
        <w:rPr>
          <w:rtl w:val="0"/>
        </w:rPr>
        <w:t xml:space="preserve">TEMA III.- El Ingeniero Científico.</w:t>
      </w:r>
    </w:p>
    <w:p w:rsidR="00000000" w:rsidDel="00000000" w:rsidP="00000000" w:rsidRDefault="00000000" w:rsidRPr="00000000" w14:paraId="00000016">
      <w:pPr>
        <w:rPr>
          <w:rFonts w:ascii="Roboto" w:cs="Roboto" w:eastAsia="Roboto" w:hAnsi="Roboto"/>
        </w:rPr>
      </w:pPr>
      <w:r w:rsidDel="00000000" w:rsidR="00000000" w:rsidRPr="00000000">
        <w:rPr>
          <w:rFonts w:ascii="Roboto" w:cs="Roboto" w:eastAsia="Roboto" w:hAnsi="Roboto"/>
          <w:rtl w:val="0"/>
        </w:rPr>
        <w:t xml:space="preserve">Ámbito y entorno laboral. Grado de interacción profesional. Responsabilidades. Funciones</w:t>
      </w:r>
    </w:p>
    <w:p w:rsidR="00000000" w:rsidDel="00000000" w:rsidP="00000000" w:rsidRDefault="00000000" w:rsidRPr="00000000" w14:paraId="00000017">
      <w:pPr>
        <w:rPr>
          <w:rFonts w:ascii="Roboto" w:cs="Roboto" w:eastAsia="Roboto" w:hAnsi="Roboto"/>
        </w:rPr>
      </w:pPr>
      <w:r w:rsidDel="00000000" w:rsidR="00000000" w:rsidRPr="00000000">
        <w:rPr>
          <w:rFonts w:ascii="Roboto" w:cs="Roboto" w:eastAsia="Roboto" w:hAnsi="Roboto"/>
          <w:rtl w:val="0"/>
        </w:rPr>
        <w:t xml:space="preserve">principales. Tareas. Competencias claves.</w:t>
      </w:r>
    </w:p>
    <w:p w:rsidR="00000000" w:rsidDel="00000000" w:rsidP="00000000" w:rsidRDefault="00000000" w:rsidRPr="00000000" w14:paraId="00000018">
      <w:pPr>
        <w:pStyle w:val="Heading2"/>
        <w:rPr/>
      </w:pPr>
      <w:bookmarkStart w:colFirst="0" w:colLast="0" w:name="_1tstyr9h2be6" w:id="4"/>
      <w:bookmarkEnd w:id="4"/>
      <w:r w:rsidDel="00000000" w:rsidR="00000000" w:rsidRPr="00000000">
        <w:rPr>
          <w:rtl w:val="0"/>
        </w:rPr>
        <w:t xml:space="preserve">TEMA IV.- El Ingeniero en la Empresa Pública de Servicios.</w:t>
      </w:r>
    </w:p>
    <w:p w:rsidR="00000000" w:rsidDel="00000000" w:rsidP="00000000" w:rsidRDefault="00000000" w:rsidRPr="00000000" w14:paraId="00000019">
      <w:pPr>
        <w:rPr>
          <w:rFonts w:ascii="Roboto" w:cs="Roboto" w:eastAsia="Roboto" w:hAnsi="Roboto"/>
        </w:rPr>
      </w:pPr>
      <w:r w:rsidDel="00000000" w:rsidR="00000000" w:rsidRPr="00000000">
        <w:rPr>
          <w:rFonts w:ascii="Roboto" w:cs="Roboto" w:eastAsia="Roboto" w:hAnsi="Roboto"/>
          <w:rtl w:val="0"/>
        </w:rPr>
        <w:t xml:space="preserve">Ámbito y entorno laboral. Grado de interacción profesional. Responsabilidades. Funciones</w:t>
      </w:r>
    </w:p>
    <w:p w:rsidR="00000000" w:rsidDel="00000000" w:rsidP="00000000" w:rsidRDefault="00000000" w:rsidRPr="00000000" w14:paraId="0000001A">
      <w:pPr>
        <w:rPr>
          <w:rFonts w:ascii="Roboto" w:cs="Roboto" w:eastAsia="Roboto" w:hAnsi="Roboto"/>
        </w:rPr>
      </w:pPr>
      <w:r w:rsidDel="00000000" w:rsidR="00000000" w:rsidRPr="00000000">
        <w:rPr>
          <w:rFonts w:ascii="Roboto" w:cs="Roboto" w:eastAsia="Roboto" w:hAnsi="Roboto"/>
          <w:rtl w:val="0"/>
        </w:rPr>
        <w:t xml:space="preserve">principales. Tareas. Competencias claves.</w:t>
      </w:r>
    </w:p>
    <w:p w:rsidR="00000000" w:rsidDel="00000000" w:rsidP="00000000" w:rsidRDefault="00000000" w:rsidRPr="00000000" w14:paraId="0000001B">
      <w:pPr>
        <w:pStyle w:val="Heading2"/>
        <w:rPr/>
      </w:pPr>
      <w:bookmarkStart w:colFirst="0" w:colLast="0" w:name="_xmmah8d42c30" w:id="5"/>
      <w:bookmarkEnd w:id="5"/>
      <w:r w:rsidDel="00000000" w:rsidR="00000000" w:rsidRPr="00000000">
        <w:rPr>
          <w:rtl w:val="0"/>
        </w:rPr>
        <w:t xml:space="preserve">TEMA V.- El Ingeniero Empresario.</w:t>
      </w:r>
    </w:p>
    <w:p w:rsidR="00000000" w:rsidDel="00000000" w:rsidP="00000000" w:rsidRDefault="00000000" w:rsidRPr="00000000" w14:paraId="0000001C">
      <w:pPr>
        <w:rPr>
          <w:rFonts w:ascii="Roboto" w:cs="Roboto" w:eastAsia="Roboto" w:hAnsi="Roboto"/>
        </w:rPr>
      </w:pPr>
      <w:r w:rsidDel="00000000" w:rsidR="00000000" w:rsidRPr="00000000">
        <w:rPr>
          <w:rFonts w:ascii="Roboto" w:cs="Roboto" w:eastAsia="Roboto" w:hAnsi="Roboto"/>
          <w:rtl w:val="0"/>
        </w:rPr>
        <w:t xml:space="preserve">Ámbito y entorno laboral. Grado de interacción profesional. Responsabilidades. Funciones</w:t>
      </w:r>
    </w:p>
    <w:p w:rsidR="00000000" w:rsidDel="00000000" w:rsidP="00000000" w:rsidRDefault="00000000" w:rsidRPr="00000000" w14:paraId="0000001D">
      <w:pPr>
        <w:rPr>
          <w:rFonts w:ascii="Roboto" w:cs="Roboto" w:eastAsia="Roboto" w:hAnsi="Roboto"/>
        </w:rPr>
      </w:pPr>
      <w:r w:rsidDel="00000000" w:rsidR="00000000" w:rsidRPr="00000000">
        <w:rPr>
          <w:rFonts w:ascii="Roboto" w:cs="Roboto" w:eastAsia="Roboto" w:hAnsi="Roboto"/>
          <w:rtl w:val="0"/>
        </w:rPr>
        <w:t xml:space="preserve">principales. Tareas. Competencias claves.</w:t>
      </w:r>
    </w:p>
    <w:p w:rsidR="00000000" w:rsidDel="00000000" w:rsidP="00000000" w:rsidRDefault="00000000" w:rsidRPr="00000000" w14:paraId="0000001E">
      <w:pPr>
        <w:pStyle w:val="Heading2"/>
        <w:rPr/>
      </w:pPr>
      <w:bookmarkStart w:colFirst="0" w:colLast="0" w:name="_hx9xnnhzlkzx" w:id="6"/>
      <w:bookmarkEnd w:id="6"/>
      <w:r w:rsidDel="00000000" w:rsidR="00000000" w:rsidRPr="00000000">
        <w:rPr>
          <w:rtl w:val="0"/>
        </w:rPr>
        <w:t xml:space="preserve">TEMA VI.- El Ingeniero Profesional Independiente.</w:t>
      </w:r>
    </w:p>
    <w:p w:rsidR="00000000" w:rsidDel="00000000" w:rsidP="00000000" w:rsidRDefault="00000000" w:rsidRPr="00000000" w14:paraId="0000001F">
      <w:pPr>
        <w:rPr>
          <w:rFonts w:ascii="Roboto" w:cs="Roboto" w:eastAsia="Roboto" w:hAnsi="Roboto"/>
        </w:rPr>
      </w:pPr>
      <w:r w:rsidDel="00000000" w:rsidR="00000000" w:rsidRPr="00000000">
        <w:rPr>
          <w:rFonts w:ascii="Roboto" w:cs="Roboto" w:eastAsia="Roboto" w:hAnsi="Roboto"/>
          <w:rtl w:val="0"/>
        </w:rPr>
        <w:t xml:space="preserve">Ámbito y entorno laboral. Grado de interacción profesional. Responsabilidades. Funciones</w:t>
      </w:r>
    </w:p>
    <w:p w:rsidR="00000000" w:rsidDel="00000000" w:rsidP="00000000" w:rsidRDefault="00000000" w:rsidRPr="00000000" w14:paraId="00000020">
      <w:pPr>
        <w:rPr>
          <w:rFonts w:ascii="Roboto" w:cs="Roboto" w:eastAsia="Roboto" w:hAnsi="Roboto"/>
        </w:rPr>
      </w:pPr>
      <w:r w:rsidDel="00000000" w:rsidR="00000000" w:rsidRPr="00000000">
        <w:rPr>
          <w:rFonts w:ascii="Roboto" w:cs="Roboto" w:eastAsia="Roboto" w:hAnsi="Roboto"/>
          <w:rtl w:val="0"/>
        </w:rPr>
        <w:t xml:space="preserve">principales. Tareas. Competencias claves.</w:t>
      </w:r>
    </w:p>
    <w:p w:rsidR="00000000" w:rsidDel="00000000" w:rsidP="00000000" w:rsidRDefault="00000000" w:rsidRPr="00000000" w14:paraId="00000021">
      <w:pPr>
        <w:pStyle w:val="Heading2"/>
        <w:rPr/>
      </w:pPr>
      <w:bookmarkStart w:colFirst="0" w:colLast="0" w:name="_6cc5nn2edv0x" w:id="7"/>
      <w:bookmarkEnd w:id="7"/>
      <w:r w:rsidDel="00000000" w:rsidR="00000000" w:rsidRPr="00000000">
        <w:rPr>
          <w:rtl w:val="0"/>
        </w:rPr>
        <w:t xml:space="preserve">TEMA VII.- El Ingeniero en la Empresa: Área Calidad.</w:t>
      </w:r>
    </w:p>
    <w:p w:rsidR="00000000" w:rsidDel="00000000" w:rsidP="00000000" w:rsidRDefault="00000000" w:rsidRPr="00000000" w14:paraId="00000022">
      <w:pPr>
        <w:rPr>
          <w:rFonts w:ascii="Roboto" w:cs="Roboto" w:eastAsia="Roboto" w:hAnsi="Roboto"/>
        </w:rPr>
      </w:pPr>
      <w:r w:rsidDel="00000000" w:rsidR="00000000" w:rsidRPr="00000000">
        <w:rPr>
          <w:rFonts w:ascii="Roboto" w:cs="Roboto" w:eastAsia="Roboto" w:hAnsi="Roboto"/>
          <w:rtl w:val="0"/>
        </w:rPr>
        <w:t xml:space="preserve">Ámbito y entorno laboral. Grado de interacción profesional. Responsabilidades. Funciones</w:t>
      </w:r>
    </w:p>
    <w:p w:rsidR="00000000" w:rsidDel="00000000" w:rsidP="00000000" w:rsidRDefault="00000000" w:rsidRPr="00000000" w14:paraId="00000023">
      <w:pPr>
        <w:rPr>
          <w:rFonts w:ascii="Roboto" w:cs="Roboto" w:eastAsia="Roboto" w:hAnsi="Roboto"/>
        </w:rPr>
      </w:pPr>
      <w:r w:rsidDel="00000000" w:rsidR="00000000" w:rsidRPr="00000000">
        <w:rPr>
          <w:rFonts w:ascii="Roboto" w:cs="Roboto" w:eastAsia="Roboto" w:hAnsi="Roboto"/>
          <w:rtl w:val="0"/>
        </w:rPr>
        <w:t xml:space="preserve">principales. Tareas. Competencias claves.</w:t>
      </w:r>
    </w:p>
    <w:p w:rsidR="00000000" w:rsidDel="00000000" w:rsidP="00000000" w:rsidRDefault="00000000" w:rsidRPr="00000000" w14:paraId="00000024">
      <w:pPr>
        <w:pStyle w:val="Heading2"/>
        <w:rPr/>
      </w:pPr>
      <w:bookmarkStart w:colFirst="0" w:colLast="0" w:name="_5jgqs54xjcce" w:id="8"/>
      <w:bookmarkEnd w:id="8"/>
      <w:r w:rsidDel="00000000" w:rsidR="00000000" w:rsidRPr="00000000">
        <w:rPr>
          <w:rtl w:val="0"/>
        </w:rPr>
        <w:t xml:space="preserve">TEMA VIII.- El Ingeniero en la Empresa: Área Producción.</w:t>
      </w:r>
    </w:p>
    <w:p w:rsidR="00000000" w:rsidDel="00000000" w:rsidP="00000000" w:rsidRDefault="00000000" w:rsidRPr="00000000" w14:paraId="00000025">
      <w:pPr>
        <w:rPr>
          <w:rFonts w:ascii="Roboto" w:cs="Roboto" w:eastAsia="Roboto" w:hAnsi="Roboto"/>
        </w:rPr>
      </w:pPr>
      <w:r w:rsidDel="00000000" w:rsidR="00000000" w:rsidRPr="00000000">
        <w:rPr>
          <w:rFonts w:ascii="Roboto" w:cs="Roboto" w:eastAsia="Roboto" w:hAnsi="Roboto"/>
          <w:rtl w:val="0"/>
        </w:rPr>
        <w:t xml:space="preserve">Ámbito y entorno laboral. Grado de interacción profesional. Responsabilidades. Funciones</w:t>
      </w:r>
    </w:p>
    <w:p w:rsidR="00000000" w:rsidDel="00000000" w:rsidP="00000000" w:rsidRDefault="00000000" w:rsidRPr="00000000" w14:paraId="00000026">
      <w:pPr>
        <w:rPr>
          <w:rFonts w:ascii="Roboto" w:cs="Roboto" w:eastAsia="Roboto" w:hAnsi="Roboto"/>
        </w:rPr>
      </w:pPr>
      <w:r w:rsidDel="00000000" w:rsidR="00000000" w:rsidRPr="00000000">
        <w:rPr>
          <w:rFonts w:ascii="Roboto" w:cs="Roboto" w:eastAsia="Roboto" w:hAnsi="Roboto"/>
          <w:rtl w:val="0"/>
        </w:rPr>
        <w:t xml:space="preserve">principales. Tareas. Competencias claves.</w:t>
      </w:r>
    </w:p>
    <w:p w:rsidR="00000000" w:rsidDel="00000000" w:rsidP="00000000" w:rsidRDefault="00000000" w:rsidRPr="00000000" w14:paraId="00000027">
      <w:pPr>
        <w:pStyle w:val="Heading2"/>
        <w:rPr/>
      </w:pPr>
      <w:bookmarkStart w:colFirst="0" w:colLast="0" w:name="_drpk2x2uyy67" w:id="9"/>
      <w:bookmarkEnd w:id="9"/>
      <w:r w:rsidDel="00000000" w:rsidR="00000000" w:rsidRPr="00000000">
        <w:rPr>
          <w:rtl w:val="0"/>
        </w:rPr>
        <w:t xml:space="preserve">TEMA IX.- El Ingeniero en la Empresa: Área Ventas.</w:t>
      </w:r>
    </w:p>
    <w:p w:rsidR="00000000" w:rsidDel="00000000" w:rsidP="00000000" w:rsidRDefault="00000000" w:rsidRPr="00000000" w14:paraId="00000028">
      <w:pPr>
        <w:rPr>
          <w:rFonts w:ascii="Roboto" w:cs="Roboto" w:eastAsia="Roboto" w:hAnsi="Roboto"/>
        </w:rPr>
      </w:pPr>
      <w:r w:rsidDel="00000000" w:rsidR="00000000" w:rsidRPr="00000000">
        <w:rPr>
          <w:rFonts w:ascii="Roboto" w:cs="Roboto" w:eastAsia="Roboto" w:hAnsi="Roboto"/>
          <w:rtl w:val="0"/>
        </w:rPr>
        <w:t xml:space="preserve">Ámbito y entorno laboral. Grado de interacción profesional. Responsabilidades. Funciones</w:t>
      </w:r>
    </w:p>
    <w:p w:rsidR="00000000" w:rsidDel="00000000" w:rsidP="00000000" w:rsidRDefault="00000000" w:rsidRPr="00000000" w14:paraId="00000029">
      <w:pPr>
        <w:rPr>
          <w:rFonts w:ascii="Roboto" w:cs="Roboto" w:eastAsia="Roboto" w:hAnsi="Roboto"/>
        </w:rPr>
      </w:pPr>
      <w:r w:rsidDel="00000000" w:rsidR="00000000" w:rsidRPr="00000000">
        <w:rPr>
          <w:rFonts w:ascii="Roboto" w:cs="Roboto" w:eastAsia="Roboto" w:hAnsi="Roboto"/>
          <w:rtl w:val="0"/>
        </w:rPr>
        <w:t xml:space="preserve">principales. Tareas. Competencias claves.</w:t>
      </w:r>
    </w:p>
    <w:p w:rsidR="00000000" w:rsidDel="00000000" w:rsidP="00000000" w:rsidRDefault="00000000" w:rsidRPr="00000000" w14:paraId="0000002A">
      <w:pPr>
        <w:pStyle w:val="Heading2"/>
        <w:rPr/>
      </w:pPr>
      <w:bookmarkStart w:colFirst="0" w:colLast="0" w:name="_7ofgem3rlz9p" w:id="10"/>
      <w:bookmarkEnd w:id="10"/>
      <w:r w:rsidDel="00000000" w:rsidR="00000000" w:rsidRPr="00000000">
        <w:rPr>
          <w:rtl w:val="0"/>
        </w:rPr>
        <w:t xml:space="preserve">TEMA X.- El Ingeniero en la Empresa: Área Desarrollo.</w:t>
      </w:r>
    </w:p>
    <w:p w:rsidR="00000000" w:rsidDel="00000000" w:rsidP="00000000" w:rsidRDefault="00000000" w:rsidRPr="00000000" w14:paraId="0000002B">
      <w:pPr>
        <w:rPr>
          <w:rFonts w:ascii="Roboto" w:cs="Roboto" w:eastAsia="Roboto" w:hAnsi="Roboto"/>
        </w:rPr>
      </w:pPr>
      <w:r w:rsidDel="00000000" w:rsidR="00000000" w:rsidRPr="00000000">
        <w:rPr>
          <w:rFonts w:ascii="Roboto" w:cs="Roboto" w:eastAsia="Roboto" w:hAnsi="Roboto"/>
          <w:rtl w:val="0"/>
        </w:rPr>
        <w:t xml:space="preserve">Ámbito y entorno laboral. Grado de interacción profesional. Responsabilidades. Funciones</w:t>
      </w:r>
    </w:p>
    <w:p w:rsidR="00000000" w:rsidDel="00000000" w:rsidP="00000000" w:rsidRDefault="00000000" w:rsidRPr="00000000" w14:paraId="0000002C">
      <w:pPr>
        <w:rPr>
          <w:rFonts w:ascii="Roboto" w:cs="Roboto" w:eastAsia="Roboto" w:hAnsi="Roboto"/>
        </w:rPr>
      </w:pPr>
      <w:r w:rsidDel="00000000" w:rsidR="00000000" w:rsidRPr="00000000">
        <w:rPr>
          <w:rFonts w:ascii="Roboto" w:cs="Roboto" w:eastAsia="Roboto" w:hAnsi="Roboto"/>
          <w:rtl w:val="0"/>
        </w:rPr>
        <w:t xml:space="preserve">principales. Tareas. Competencias claves.</w:t>
      </w:r>
    </w:p>
    <w:p w:rsidR="00000000" w:rsidDel="00000000" w:rsidP="00000000" w:rsidRDefault="00000000" w:rsidRPr="00000000" w14:paraId="0000002D">
      <w:pPr>
        <w:rPr>
          <w:rFonts w:ascii="Roboto" w:cs="Roboto" w:eastAsia="Roboto" w:hAnsi="Roboto"/>
        </w:rPr>
      </w:pPr>
      <w:r w:rsidDel="00000000" w:rsidR="00000000" w:rsidRPr="00000000">
        <w:rPr>
          <w:rtl w:val="0"/>
        </w:rPr>
      </w:r>
    </w:p>
    <w:p w:rsidR="00000000" w:rsidDel="00000000" w:rsidP="00000000" w:rsidRDefault="00000000" w:rsidRPr="00000000" w14:paraId="0000002E">
      <w:pPr>
        <w:pStyle w:val="Heading2"/>
        <w:rPr/>
      </w:pPr>
      <w:bookmarkStart w:colFirst="0" w:colLast="0" w:name="_5ts89gu6sbfc" w:id="11"/>
      <w:bookmarkEnd w:id="11"/>
      <w:r w:rsidDel="00000000" w:rsidR="00000000" w:rsidRPr="00000000">
        <w:rPr>
          <w:rtl w:val="0"/>
        </w:rPr>
        <w:t xml:space="preserve">BIBLIOGRAFÍA</w:t>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30">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Apuntes de la Cátedra. Guillermo Gómez y Pablo Montemartini.</w:t>
      </w:r>
    </w:p>
    <w:p w:rsidR="00000000" w:rsidDel="00000000" w:rsidP="00000000" w:rsidRDefault="00000000" w:rsidRPr="00000000" w14:paraId="00000031">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Allum J (2000).The National Skill Standards Board: Creating the Workforce of Tomorrow, Today Remarks of Mr. Jeffrey Allum, Director of Systems Implementation National Skill Standards Board (NSSB) To the Annual Evaluation Meeting of the Technical Education and Training Modernization</w:t>
      </w:r>
    </w:p>
    <w:p w:rsidR="00000000" w:rsidDel="00000000" w:rsidP="00000000" w:rsidRDefault="00000000" w:rsidRPr="00000000" w14:paraId="00000032">
      <w:pPr>
        <w:spacing w:after="80" w:line="273.6" w:lineRule="auto"/>
        <w:ind w:left="720" w:firstLine="0"/>
        <w:rPr>
          <w:rFonts w:ascii="Roboto" w:cs="Roboto" w:eastAsia="Roboto" w:hAnsi="Roboto"/>
        </w:rPr>
      </w:pPr>
      <w:hyperlink r:id="rId6">
        <w:r w:rsidDel="00000000" w:rsidR="00000000" w:rsidRPr="00000000">
          <w:rPr>
            <w:rFonts w:ascii="Roboto" w:cs="Roboto" w:eastAsia="Roboto" w:hAnsi="Roboto"/>
            <w:color w:val="1155cc"/>
            <w:u w:val="single"/>
            <w:rtl w:val="0"/>
          </w:rPr>
          <w:t xml:space="preserve">http://www.cinterfor.org.uy/public/english/region/ampro/cinterfor/conf/2000/certific/allum.pdf </w:t>
        </w:r>
      </w:hyperlink>
      <w:r w:rsidDel="00000000" w:rsidR="00000000" w:rsidRPr="00000000">
        <w:rPr>
          <w:rFonts w:ascii="Roboto" w:cs="Roboto" w:eastAsia="Roboto" w:hAnsi="Roboto"/>
          <w:rtl w:val="0"/>
        </w:rPr>
        <w:t xml:space="preserve">- Project (PMETYC), México. 2000.</w:t>
      </w:r>
    </w:p>
    <w:p w:rsidR="00000000" w:rsidDel="00000000" w:rsidP="00000000" w:rsidRDefault="00000000" w:rsidRPr="00000000" w14:paraId="00000033">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Vargas F. (2000) "La formación por competencias. Instrumento para incrementar la empleabilidad" Organización Internacional del Trabajo.</w:t>
      </w:r>
      <w:hyperlink r:id="rId7">
        <w:r w:rsidDel="00000000" w:rsidR="00000000" w:rsidRPr="00000000">
          <w:rPr>
            <w:rFonts w:ascii="Roboto" w:cs="Roboto" w:eastAsia="Roboto" w:hAnsi="Roboto"/>
            <w:color w:val="1155cc"/>
            <w:u w:val="single"/>
            <w:rtl w:val="0"/>
          </w:rPr>
          <w:t xml:space="preserve"> http://www.cinterfor.org.uy</w:t>
        </w:r>
      </w:hyperlink>
      <w:r w:rsidDel="00000000" w:rsidR="00000000" w:rsidRPr="00000000">
        <w:rPr>
          <w:rFonts w:ascii="Roboto" w:cs="Roboto" w:eastAsia="Roboto" w:hAnsi="Roboto"/>
          <w:rtl w:val="0"/>
        </w:rPr>
        <w:t xml:space="preserve">, 2000.</w:t>
      </w:r>
    </w:p>
    <w:p w:rsidR="00000000" w:rsidDel="00000000" w:rsidP="00000000" w:rsidRDefault="00000000" w:rsidRPr="00000000" w14:paraId="00000034">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Quezada H (2003, b) Competencias laborales (II) Evolución y tipologías. Temas de recursos humanos. </w:t>
      </w:r>
      <w:hyperlink r:id="rId8">
        <w:r w:rsidDel="00000000" w:rsidR="00000000" w:rsidRPr="00000000">
          <w:rPr>
            <w:rFonts w:ascii="Roboto" w:cs="Roboto" w:eastAsia="Roboto" w:hAnsi="Roboto"/>
            <w:color w:val="1155cc"/>
            <w:u w:val="single"/>
            <w:rtl w:val="0"/>
          </w:rPr>
          <w:t xml:space="preserve">http://www.sht.com.ar/archivo/temas/competencias2b.htm</w:t>
        </w:r>
      </w:hyperlink>
      <w:r w:rsidDel="00000000" w:rsidR="00000000" w:rsidRPr="00000000">
        <w:rPr>
          <w:rFonts w:ascii="Roboto" w:cs="Roboto" w:eastAsia="Roboto" w:hAnsi="Roboto"/>
          <w:rtl w:val="0"/>
        </w:rPr>
        <w:t xml:space="preserve">. 2003.</w:t>
      </w:r>
    </w:p>
    <w:p w:rsidR="00000000" w:rsidDel="00000000" w:rsidP="00000000" w:rsidRDefault="00000000" w:rsidRPr="00000000" w14:paraId="00000035">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Popa I (2001) La formación profesional por competencias en Cuba. Estudio de caso. Pedagogía 2001. La Habana, Cuba. Organización Internacional del Trabajo. Proyecto de competencias laborales Análisis de la experiencia comparada: Australia, Canadá, Francia, Gran Bretaña, México, 2001. </w:t>
      </w:r>
      <w:hyperlink r:id="rId9">
        <w:r w:rsidDel="00000000" w:rsidR="00000000" w:rsidRPr="00000000">
          <w:rPr>
            <w:rFonts w:ascii="Roboto" w:cs="Roboto" w:eastAsia="Roboto" w:hAnsi="Roboto"/>
            <w:color w:val="1155cc"/>
            <w:u w:val="single"/>
            <w:rtl w:val="0"/>
          </w:rPr>
          <w:t xml:space="preserve">http://www.cinterfor.org.uy</w:t>
        </w:r>
      </w:hyperlink>
      <w:r w:rsidDel="00000000" w:rsidR="00000000" w:rsidRPr="00000000">
        <w:rPr>
          <w:rtl w:val="0"/>
        </w:rPr>
      </w:r>
    </w:p>
    <w:p w:rsidR="00000000" w:rsidDel="00000000" w:rsidP="00000000" w:rsidRDefault="00000000" w:rsidRPr="00000000" w14:paraId="00000036">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Mertens, L. Formación, productividad y competencia laboral en las organizaciones: conceptos, metodologías y experiencias. Montevideo CINTERFOR / OIT. 2002 </w:t>
      </w:r>
      <w:hyperlink r:id="rId10">
        <w:r w:rsidDel="00000000" w:rsidR="00000000" w:rsidRPr="00000000">
          <w:rPr>
            <w:rFonts w:ascii="Roboto" w:cs="Roboto" w:eastAsia="Roboto" w:hAnsi="Roboto"/>
            <w:color w:val="1155cc"/>
            <w:u w:val="single"/>
            <w:rtl w:val="0"/>
          </w:rPr>
          <w:t xml:space="preserve">http://www.cinterfor.org.uy/public/spanish/region/ampro/cinterfor/newsroom/whatsnew.htm</w:t>
        </w:r>
      </w:hyperlink>
      <w:r w:rsidDel="00000000" w:rsidR="00000000" w:rsidRPr="00000000">
        <w:rPr>
          <w:rtl w:val="0"/>
        </w:rPr>
      </w:r>
    </w:p>
    <w:p w:rsidR="00000000" w:rsidDel="00000000" w:rsidP="00000000" w:rsidRDefault="00000000" w:rsidRPr="00000000" w14:paraId="00000037">
      <w:pPr>
        <w:spacing w:after="80" w:line="273.6" w:lineRule="auto"/>
        <w:ind w:left="720" w:firstLine="0"/>
        <w:rPr>
          <w:rFonts w:ascii="Roboto" w:cs="Roboto" w:eastAsia="Roboto" w:hAnsi="Roboto"/>
        </w:rPr>
      </w:pPr>
      <w:r w:rsidDel="00000000" w:rsidR="00000000" w:rsidRPr="00000000">
        <w:rPr>
          <w:rtl w:val="0"/>
        </w:rPr>
      </w:r>
    </w:p>
    <w:p w:rsidR="00000000" w:rsidDel="00000000" w:rsidP="00000000" w:rsidRDefault="00000000" w:rsidRPr="00000000" w14:paraId="00000038">
      <w:pPr>
        <w:spacing w:after="80" w:line="273.6" w:lineRule="auto"/>
        <w:ind w:left="0" w:firstLine="0"/>
        <w:rPr>
          <w:rFonts w:ascii="Roboto" w:cs="Roboto" w:eastAsia="Roboto" w:hAnsi="Roboto"/>
        </w:rPr>
      </w:pPr>
      <w:r w:rsidDel="00000000" w:rsidR="00000000" w:rsidRPr="00000000">
        <w:rPr>
          <w:rtl w:val="0"/>
        </w:rPr>
      </w:r>
    </w:p>
    <w:sectPr>
      <w:headerReference r:id="rId11" w:type="default"/>
      <w:headerReference r:id="rId12" w:type="first"/>
      <w:footerReference r:id="rId13" w:type="default"/>
      <w:footerReference r:id="rId14" w:type="first"/>
      <w:pgSz w:h="16838" w:w="11906"/>
      <w:pgMar w:bottom="1133.8582677165355" w:top="1133.8582677165355" w:left="1133.8582677165355" w:right="1133.8582677165355" w:header="566.9291338582677" w:footer="566.929133858267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ora">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1">
    <w:pPr>
      <w:jc w:val="right"/>
      <w:rPr>
        <w:color w:val="16a085"/>
      </w:rPr>
    </w:pPr>
    <w:r w:rsidDel="00000000" w:rsidR="00000000" w:rsidRPr="00000000">
      <w:rPr>
        <w:color w:val="16a085"/>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2">
    <w:pPr>
      <w:jc w:val="right"/>
      <w:rPr>
        <w:rFonts w:ascii="Roboto" w:cs="Roboto" w:eastAsia="Roboto" w:hAnsi="Roboto"/>
        <w:color w:val="16a085"/>
      </w:rPr>
    </w:pPr>
    <w:r w:rsidDel="00000000" w:rsidR="00000000" w:rsidRPr="00000000">
      <w:rPr>
        <w:rFonts w:ascii="Roboto" w:cs="Roboto" w:eastAsia="Roboto" w:hAnsi="Roboto"/>
        <w:color w:val="16a085"/>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9">
    <w:pPr>
      <w:spacing w:line="240" w:lineRule="auto"/>
      <w:rPr>
        <w:rFonts w:ascii="Roboto" w:cs="Roboto" w:eastAsia="Roboto" w:hAnsi="Roboto"/>
        <w:sz w:val="4"/>
        <w:szCs w:val="4"/>
      </w:rPr>
    </w:pPr>
    <w:r w:rsidDel="00000000" w:rsidR="00000000" w:rsidRPr="00000000">
      <w:rPr>
        <w:rtl w:val="0"/>
      </w:rPr>
    </w:r>
  </w:p>
  <w:tbl>
    <w:tblPr>
      <w:tblStyle w:val="Table2"/>
      <w:tblW w:w="9630.0" w:type="dxa"/>
      <w:jc w:val="center"/>
      <w:tblLayout w:type="fixed"/>
      <w:tblLook w:val="0600"/>
    </w:tblPr>
    <w:tblGrid>
      <w:gridCol w:w="1245"/>
      <w:gridCol w:w="2550"/>
      <w:gridCol w:w="1275"/>
      <w:gridCol w:w="1350"/>
      <w:gridCol w:w="1230"/>
      <w:gridCol w:w="1980"/>
      <w:tblGridChange w:id="0">
        <w:tblGrid>
          <w:gridCol w:w="1245"/>
          <w:gridCol w:w="2550"/>
          <w:gridCol w:w="1275"/>
          <w:gridCol w:w="1350"/>
          <w:gridCol w:w="1230"/>
          <w:gridCol w:w="1980"/>
        </w:tblGrid>
      </w:tblGridChange>
    </w:tblGrid>
    <w:tr>
      <w:trPr>
        <w:trHeight w:val="1140" w:hRule="atLeast"/>
      </w:trPr>
      <w:tc>
        <w:tcPr>
          <w:shd w:fill="auto" w:val="clear"/>
          <w:tcMar>
            <w:top w:w="0.0" w:type="dxa"/>
            <w:left w:w="0.0" w:type="dxa"/>
            <w:bottom w:w="0.0" w:type="dxa"/>
            <w:right w:w="0.0" w:type="dxa"/>
          </w:tcMar>
          <w:vAlign w:val="center"/>
        </w:tcPr>
        <w:p w:rsidR="00000000" w:rsidDel="00000000" w:rsidP="00000000" w:rsidRDefault="00000000" w:rsidRPr="00000000" w14:paraId="0000003A">
          <w:pPr>
            <w:spacing w:after="40" w:line="264" w:lineRule="auto"/>
            <w:jc w:val="left"/>
            <w:rPr>
              <w:rFonts w:ascii="Lora" w:cs="Lora" w:eastAsia="Lora" w:hAnsi="Lora"/>
              <w:b w:val="1"/>
              <w:sz w:val="18"/>
              <w:szCs w:val="18"/>
            </w:rPr>
          </w:pPr>
          <w:r w:rsidDel="00000000" w:rsidR="00000000" w:rsidRPr="00000000">
            <w:rPr>
              <w:rFonts w:ascii="Lora" w:cs="Lora" w:eastAsia="Lora" w:hAnsi="Lora"/>
              <w:b w:val="1"/>
              <w:sz w:val="18"/>
              <w:szCs w:val="18"/>
            </w:rPr>
            <w:drawing>
              <wp:inline distB="114300" distT="114300" distL="114300" distR="114300">
                <wp:extent cx="762000" cy="617175"/>
                <wp:effectExtent b="0" l="0" r="0" t="0"/>
                <wp:docPr id="1" name="image3.png"/>
                <a:graphic>
                  <a:graphicData uri="http://schemas.openxmlformats.org/drawingml/2006/picture">
                    <pic:pic>
                      <pic:nvPicPr>
                        <pic:cNvPr id="0" name="image3.png"/>
                        <pic:cNvPicPr preferRelativeResize="0"/>
                      </pic:nvPicPr>
                      <pic:blipFill>
                        <a:blip r:embed="rId1"/>
                        <a:srcRect b="9744" l="0" r="0" t="9031"/>
                        <a:stretch>
                          <a:fillRect/>
                        </a:stretch>
                      </pic:blipFill>
                      <pic:spPr>
                        <a:xfrm>
                          <a:off x="0" y="0"/>
                          <a:ext cx="762000" cy="617175"/>
                        </a:xfrm>
                        <a:prstGeom prst="rect"/>
                        <a:ln/>
                      </pic:spPr>
                    </pic:pic>
                  </a:graphicData>
                </a:graphic>
              </wp:inline>
            </w:drawing>
          </w:r>
          <w:r w:rsidDel="00000000" w:rsidR="00000000" w:rsidRPr="00000000">
            <w:rPr>
              <w:rtl w:val="0"/>
            </w:rPr>
          </w:r>
        </w:p>
      </w:tc>
      <w:tc>
        <w:tcPr>
          <w:shd w:fill="auto" w:val="clear"/>
          <w:tcMar>
            <w:top w:w="0.0" w:type="dxa"/>
            <w:left w:w="0.0" w:type="dxa"/>
            <w:bottom w:w="0.0" w:type="dxa"/>
            <w:right w:w="0.0" w:type="dxa"/>
          </w:tcMar>
          <w:vAlign w:val="center"/>
        </w:tcPr>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40" w:before="0" w:line="264" w:lineRule="auto"/>
            <w:ind w:left="0" w:right="0" w:firstLine="0"/>
            <w:jc w:val="center"/>
            <w:rPr>
              <w:rFonts w:ascii="Lora" w:cs="Lora" w:eastAsia="Lora" w:hAnsi="Lora"/>
              <w:sz w:val="18"/>
              <w:szCs w:val="18"/>
            </w:rPr>
          </w:pPr>
          <w:r w:rsidDel="00000000" w:rsidR="00000000" w:rsidRPr="00000000">
            <w:rPr>
              <w:rFonts w:ascii="Lora" w:cs="Lora" w:eastAsia="Lora" w:hAnsi="Lora"/>
              <w:sz w:val="18"/>
              <w:szCs w:val="18"/>
              <w:rtl w:val="0"/>
            </w:rPr>
            <w:t xml:space="preserve">Departamento de Ingeniería Química y en Alimentos</w:t>
          </w:r>
        </w:p>
      </w:tc>
      <w:tc>
        <w:tcPr>
          <w:shd w:fill="auto" w:val="clear"/>
          <w:tcMar>
            <w:top w:w="0.0" w:type="dxa"/>
            <w:left w:w="0.0" w:type="dxa"/>
            <w:bottom w:w="0.0" w:type="dxa"/>
            <w:right w:w="0.0" w:type="dxa"/>
          </w:tcMar>
          <w:vAlign w:val="center"/>
        </w:tcPr>
        <w:p w:rsidR="00000000" w:rsidDel="00000000" w:rsidP="00000000" w:rsidRDefault="00000000" w:rsidRPr="00000000" w14:paraId="0000003C">
          <w:pPr>
            <w:spacing w:after="40" w:line="264" w:lineRule="auto"/>
            <w:jc w:val="right"/>
            <w:rPr>
              <w:rFonts w:ascii="Lora" w:cs="Lora" w:eastAsia="Lora" w:hAnsi="Lora"/>
              <w:sz w:val="18"/>
              <w:szCs w:val="18"/>
            </w:rPr>
          </w:pPr>
          <w:r w:rsidDel="00000000" w:rsidR="00000000" w:rsidRPr="00000000">
            <w:rPr>
              <w:rFonts w:ascii="Lora" w:cs="Lora" w:eastAsia="Lora" w:hAnsi="Lora"/>
              <w:sz w:val="18"/>
              <w:szCs w:val="18"/>
            </w:rPr>
            <w:drawing>
              <wp:inline distB="114300" distT="114300" distL="114300" distR="114300">
                <wp:extent cx="819150" cy="642938"/>
                <wp:effectExtent b="0" l="0" r="0" t="0"/>
                <wp:docPr id="2" name="image4.png"/>
                <a:graphic>
                  <a:graphicData uri="http://schemas.openxmlformats.org/drawingml/2006/picture">
                    <pic:pic>
                      <pic:nvPicPr>
                        <pic:cNvPr id="0" name="image4.png"/>
                        <pic:cNvPicPr preferRelativeResize="0"/>
                      </pic:nvPicPr>
                      <pic:blipFill>
                        <a:blip r:embed="rId2"/>
                        <a:srcRect b="8720" l="0" r="0" t="12790"/>
                        <a:stretch>
                          <a:fillRect/>
                        </a:stretch>
                      </pic:blipFill>
                      <pic:spPr>
                        <a:xfrm>
                          <a:off x="0" y="0"/>
                          <a:ext cx="819150" cy="642938"/>
                        </a:xfrm>
                        <a:prstGeom prst="rect"/>
                        <a:ln/>
                      </pic:spPr>
                    </pic:pic>
                  </a:graphicData>
                </a:graphic>
              </wp:inline>
            </w:drawing>
          </w:r>
          <w:r w:rsidDel="00000000" w:rsidR="00000000" w:rsidRPr="00000000">
            <w:rPr>
              <w:rtl w:val="0"/>
            </w:rPr>
          </w:r>
        </w:p>
      </w:tc>
      <w:tc>
        <w:tcPr>
          <w:shd w:fill="auto" w:val="clear"/>
          <w:tcMar>
            <w:top w:w="0.0" w:type="dxa"/>
            <w:left w:w="0.0" w:type="dxa"/>
            <w:bottom w:w="0.0" w:type="dxa"/>
            <w:right w:w="0.0" w:type="dxa"/>
          </w:tcMar>
          <w:vAlign w:val="center"/>
        </w:tcPr>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40" w:before="0" w:line="264" w:lineRule="auto"/>
            <w:ind w:left="0" w:right="0" w:firstLine="0"/>
            <w:jc w:val="center"/>
            <w:rPr>
              <w:rFonts w:ascii="Lora" w:cs="Lora" w:eastAsia="Lora" w:hAnsi="Lora"/>
              <w:sz w:val="18"/>
              <w:szCs w:val="18"/>
            </w:rPr>
          </w:pPr>
          <w:r w:rsidDel="00000000" w:rsidR="00000000" w:rsidRPr="00000000">
            <w:rPr>
              <w:rFonts w:ascii="Lora" w:cs="Lora" w:eastAsia="Lora" w:hAnsi="Lora"/>
              <w:sz w:val="18"/>
              <w:szCs w:val="18"/>
              <w:rtl w:val="0"/>
            </w:rPr>
            <w:t xml:space="preserve">Facultad de Ingeniería</w:t>
          </w:r>
        </w:p>
      </w:tc>
      <w:tc>
        <w:tcPr>
          <w:shd w:fill="auto" w:val="clear"/>
          <w:tcMar>
            <w:top w:w="0.0" w:type="dxa"/>
            <w:left w:w="0.0" w:type="dxa"/>
            <w:bottom w:w="0.0" w:type="dxa"/>
            <w:right w:w="0.0" w:type="dxa"/>
          </w:tcMar>
          <w:vAlign w:val="center"/>
        </w:tcPr>
        <w:p w:rsidR="00000000" w:rsidDel="00000000" w:rsidP="00000000" w:rsidRDefault="00000000" w:rsidRPr="00000000" w14:paraId="0000003E">
          <w:pPr>
            <w:spacing w:after="40" w:line="264" w:lineRule="auto"/>
            <w:jc w:val="right"/>
            <w:rPr>
              <w:rFonts w:ascii="Lora" w:cs="Lora" w:eastAsia="Lora" w:hAnsi="Lora"/>
              <w:sz w:val="18"/>
              <w:szCs w:val="18"/>
            </w:rPr>
          </w:pPr>
          <w:r w:rsidDel="00000000" w:rsidR="00000000" w:rsidRPr="00000000">
            <w:rPr>
              <w:rFonts w:ascii="Lora" w:cs="Lora" w:eastAsia="Lora" w:hAnsi="Lora"/>
              <w:sz w:val="18"/>
              <w:szCs w:val="18"/>
            </w:rPr>
            <w:drawing>
              <wp:inline distB="114300" distT="114300" distL="114300" distR="114300">
                <wp:extent cx="544875" cy="544875"/>
                <wp:effectExtent b="0" l="0" r="0" t="0"/>
                <wp:docPr id="3" name="image5.png"/>
                <a:graphic>
                  <a:graphicData uri="http://schemas.openxmlformats.org/drawingml/2006/picture">
                    <pic:pic>
                      <pic:nvPicPr>
                        <pic:cNvPr id="0" name="image5.png"/>
                        <pic:cNvPicPr preferRelativeResize="0"/>
                      </pic:nvPicPr>
                      <pic:blipFill>
                        <a:blip r:embed="rId3"/>
                        <a:srcRect b="0" l="0" r="0" t="0"/>
                        <a:stretch>
                          <a:fillRect/>
                        </a:stretch>
                      </pic:blipFill>
                      <pic:spPr>
                        <a:xfrm>
                          <a:off x="0" y="0"/>
                          <a:ext cx="544875" cy="544875"/>
                        </a:xfrm>
                        <a:prstGeom prst="rect"/>
                        <a:ln/>
                      </pic:spPr>
                    </pic:pic>
                  </a:graphicData>
                </a:graphic>
              </wp:inline>
            </w:drawing>
          </w:r>
          <w:r w:rsidDel="00000000" w:rsidR="00000000" w:rsidRPr="00000000">
            <w:rPr>
              <w:rtl w:val="0"/>
            </w:rPr>
          </w:r>
        </w:p>
      </w:tc>
      <w:tc>
        <w:tcPr>
          <w:shd w:fill="auto" w:val="clear"/>
          <w:tcMar>
            <w:top w:w="0.0" w:type="dxa"/>
            <w:left w:w="0.0" w:type="dxa"/>
            <w:bottom w:w="0.0" w:type="dxa"/>
            <w:right w:w="0.0" w:type="dxa"/>
          </w:tcMar>
          <w:vAlign w:val="center"/>
        </w:tcPr>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40" w:before="0" w:line="264" w:lineRule="auto"/>
            <w:ind w:left="0" w:right="0" w:firstLine="0"/>
            <w:jc w:val="center"/>
            <w:rPr>
              <w:rFonts w:ascii="Lora" w:cs="Lora" w:eastAsia="Lora" w:hAnsi="Lora"/>
              <w:sz w:val="18"/>
              <w:szCs w:val="18"/>
            </w:rPr>
          </w:pPr>
          <w:r w:rsidDel="00000000" w:rsidR="00000000" w:rsidRPr="00000000">
            <w:rPr>
              <w:rFonts w:ascii="Lora" w:cs="Lora" w:eastAsia="Lora" w:hAnsi="Lora"/>
              <w:sz w:val="18"/>
              <w:szCs w:val="18"/>
              <w:rtl w:val="0"/>
            </w:rPr>
            <w:t xml:space="preserve">Universidad Nacional de Mar del Plata</w:t>
          </w:r>
        </w:p>
      </w:tc>
    </w:tr>
  </w:tbl>
  <w:p w:rsidR="00000000" w:rsidDel="00000000" w:rsidP="00000000" w:rsidRDefault="00000000" w:rsidRPr="00000000" w14:paraId="00000040">
    <w:pPr>
      <w:spacing w:line="240" w:lineRule="auto"/>
      <w:rPr/>
    </w:pPr>
    <w:r w:rsidDel="00000000" w:rsidR="00000000" w:rsidRPr="00000000">
      <w:pict>
        <v:rect style="width:0.0pt;height:1.5pt" o:hr="t" o:hrstd="t" o:hralign="center" fillcolor="#A0A0A0" stroked="f"/>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jc w:val="center"/>
    </w:pPr>
    <w:rPr>
      <w:rFonts w:ascii="Roboto" w:cs="Roboto" w:eastAsia="Roboto" w:hAnsi="Roboto"/>
      <w:b w:val="1"/>
      <w:color w:val="16a085"/>
      <w:sz w:val="32"/>
      <w:szCs w:val="32"/>
    </w:rPr>
  </w:style>
  <w:style w:type="paragraph" w:styleId="Heading2">
    <w:name w:val="heading 2"/>
    <w:basedOn w:val="Normal"/>
    <w:next w:val="Normal"/>
    <w:pPr>
      <w:keepNext w:val="1"/>
      <w:keepLines w:val="1"/>
      <w:spacing w:after="40" w:before="200" w:line="271.2" w:lineRule="auto"/>
    </w:pPr>
    <w:rPr>
      <w:rFonts w:ascii="Roboto" w:cs="Roboto" w:eastAsia="Roboto" w:hAnsi="Roboto"/>
      <w:b w:val="1"/>
      <w:color w:val="16a085"/>
      <w:sz w:val="28"/>
      <w:szCs w:val="28"/>
    </w:rPr>
  </w:style>
  <w:style w:type="paragraph" w:styleId="Heading3">
    <w:name w:val="heading 3"/>
    <w:basedOn w:val="Normal"/>
    <w:next w:val="Normal"/>
    <w:pPr>
      <w:keepNext w:val="1"/>
      <w:keepLines w:val="1"/>
      <w:spacing w:after="80" w:before="320" w:line="273.6" w:lineRule="auto"/>
    </w:pPr>
    <w:rPr>
      <w:rFonts w:ascii="Roboto" w:cs="Roboto" w:eastAsia="Roboto" w:hAnsi="Roboto"/>
      <w:b w:val="1"/>
      <w:i w:val="1"/>
      <w:color w:val="434343"/>
      <w:sz w:val="24"/>
      <w:szCs w:val="24"/>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hyperlink" Target="http://www.cinterfor.org.uy/public/spanish/region/ampro/cinterfor/newsroom/whatsnew.htm" TargetMode="External"/><Relationship Id="rId13" Type="http://schemas.openxmlformats.org/officeDocument/2006/relationships/footer" Target="footer2.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cinterfor.org.uy" TargetMode="External"/><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www.cinterfor.org.uy/public/english/region/ampro/cinterfor/conf/2000/certific/allum.pdf" TargetMode="External"/><Relationship Id="rId7" Type="http://schemas.openxmlformats.org/officeDocument/2006/relationships/hyperlink" Target="http://www.cinterfor.org.uy" TargetMode="External"/><Relationship Id="rId8" Type="http://schemas.openxmlformats.org/officeDocument/2006/relationships/hyperlink" Target="http://www.sht.com.ar/archivo/temas/competencias2b.ht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Lora-regular.ttf"/><Relationship Id="rId6" Type="http://schemas.openxmlformats.org/officeDocument/2006/relationships/font" Target="fonts/Lora-bold.ttf"/><Relationship Id="rId7" Type="http://schemas.openxmlformats.org/officeDocument/2006/relationships/font" Target="fonts/Lora-italic.ttf"/><Relationship Id="rId8" Type="http://schemas.openxmlformats.org/officeDocument/2006/relationships/font" Target="fonts/Lora-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png"/><Relationship Id="rId3"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