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en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Control en Industrias de Alimentos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1QD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2014)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gtupn8at0a4" w:id="1"/>
      <w:bookmarkEnd w:id="1"/>
      <w:r w:rsidDel="00000000" w:rsidR="00000000" w:rsidRPr="00000000">
        <w:rPr>
          <w:rtl w:val="0"/>
        </w:rPr>
        <w:t xml:space="preserve">UNIDAD I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Introducción al control automático de operaciones y procesos. El sistema. Criterios de evaluación del comportamiento del sistema. Necesidad del conocimiento del comportamiento dinámico del sistema. Evolución y tendencias del control automático.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lqo6x4oa3agx" w:id="2"/>
      <w:bookmarkEnd w:id="2"/>
      <w:r w:rsidDel="00000000" w:rsidR="00000000" w:rsidRPr="00000000">
        <w:rPr>
          <w:rtl w:val="0"/>
        </w:rPr>
        <w:t xml:space="preserve">UNIDAD II 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Transformada de Laplace. Transformada de la función derivada. Solución de ecuaciones diferenciales. Naturaleza cualitativa de la transformada inversa. Teoremas del valor inicial y valor final. Traslación de la función. Transformada del impulso. Transformada de una integral. Álgebra de bloques.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jfjrb162yg8l" w:id="3"/>
      <w:bookmarkEnd w:id="3"/>
      <w:r w:rsidDel="00000000" w:rsidR="00000000" w:rsidRPr="00000000">
        <w:rPr>
          <w:rtl w:val="0"/>
        </w:rPr>
        <w:t xml:space="preserve">UNIDAD III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Modelos de subsistemas. Variables y parámetros. Balances. Elementos adicionales. Variables dinámicas. Ecuación dinámica. Linealización. Subsistemas de una entrada y una salida. Transformación de la ecuación dinámica. Función de transferencia. Función forzante. Respuesta del subsistema.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je3u7nfort33" w:id="4"/>
      <w:bookmarkEnd w:id="4"/>
      <w:r w:rsidDel="00000000" w:rsidR="00000000" w:rsidRPr="00000000">
        <w:rPr>
          <w:rtl w:val="0"/>
        </w:rPr>
        <w:t xml:space="preserve">UNIDAD IV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de primer orden. Constante de tiempo. Ganancia. Respuesta a escalón, impulso, rampa y sinusoide.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iojd2j7h1ivz" w:id="5"/>
      <w:bookmarkEnd w:id="5"/>
      <w:r w:rsidDel="00000000" w:rsidR="00000000" w:rsidRPr="00000000">
        <w:rPr>
          <w:rtl w:val="0"/>
        </w:rPr>
        <w:t xml:space="preserve">UNIDAD V 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de segundo orden y de orden superior. Sistemas sub y sobre amortiguados. Frecuencia natural y coeficiente de amortiguamiento. Sistemas de orden superior. Integrador. Sistemas con respuesta inversa. Demora.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hhtbwnl7gokx" w:id="6"/>
      <w:bookmarkEnd w:id="6"/>
      <w:r w:rsidDel="00000000" w:rsidR="00000000" w:rsidRPr="00000000">
        <w:rPr>
          <w:rtl w:val="0"/>
        </w:rPr>
        <w:t xml:space="preserve">UNIDAD VI 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Análisis dinámico de subsistemas específicos de la Ingeniería Química. Reactores. Intercambiadores. Columnas.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gntv9n1fuf1n" w:id="7"/>
      <w:bookmarkEnd w:id="7"/>
      <w:r w:rsidDel="00000000" w:rsidR="00000000" w:rsidRPr="00000000">
        <w:rPr>
          <w:rtl w:val="0"/>
        </w:rPr>
        <w:t xml:space="preserve">UNIDAD VII 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Sistemas autorregulantes y no autorregulantes. Sistemas lineales en lazo cerrado. Control con realimentación negativa. Control proporcional. Valor deseado. Perturbaciones. Error. Función de transferencia en lazo cerrado.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qu17xkpskp53" w:id="8"/>
      <w:bookmarkEnd w:id="8"/>
      <w:r w:rsidDel="00000000" w:rsidR="00000000" w:rsidRPr="00000000">
        <w:rPr>
          <w:rtl w:val="0"/>
        </w:rPr>
        <w:t xml:space="preserve">UNIDAD VIII 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Controladores por realimentación negativa. Acción integral. Acción derivativa.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l35036p803u5" w:id="9"/>
      <w:bookmarkEnd w:id="9"/>
      <w:r w:rsidDel="00000000" w:rsidR="00000000" w:rsidRPr="00000000">
        <w:rPr>
          <w:rtl w:val="0"/>
        </w:rPr>
        <w:t xml:space="preserve">UNIDAD IX 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Estabilidad de sistemas con realimentación negativa. Ecuación característica. Criterio de estabilidad de Routh- Hurwitz.</w:t>
      </w:r>
    </w:p>
    <w:p w:rsidR="00000000" w:rsidDel="00000000" w:rsidP="00000000" w:rsidRDefault="00000000" w:rsidRPr="00000000" w14:paraId="00000023">
      <w:pPr>
        <w:pStyle w:val="Heading2"/>
        <w:rPr/>
      </w:pPr>
      <w:bookmarkStart w:colFirst="0" w:colLast="0" w:name="_8ppcmkk230xv" w:id="10"/>
      <w:bookmarkEnd w:id="10"/>
      <w:r w:rsidDel="00000000" w:rsidR="00000000" w:rsidRPr="00000000">
        <w:rPr>
          <w:rtl w:val="0"/>
        </w:rPr>
        <w:t xml:space="preserve">UNIDAD X </w:t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Respuesta de frecuencias. Regla de sustitución. Relación de amplitudes y desfasaje. Diagramas de Bode y Nyquist. Criterios de estabilidad basados en la respuesta de frecuencias. Margen de fase y margen de ganancia.</w:t>
      </w:r>
    </w:p>
    <w:p w:rsidR="00000000" w:rsidDel="00000000" w:rsidP="00000000" w:rsidRDefault="00000000" w:rsidRPr="00000000" w14:paraId="00000025">
      <w:pPr>
        <w:pStyle w:val="Heading2"/>
        <w:rPr/>
      </w:pPr>
      <w:bookmarkStart w:colFirst="0" w:colLast="0" w:name="_agz67r7ffv1i" w:id="11"/>
      <w:bookmarkEnd w:id="11"/>
      <w:r w:rsidDel="00000000" w:rsidR="00000000" w:rsidRPr="00000000">
        <w:rPr>
          <w:rtl w:val="0"/>
        </w:rPr>
        <w:t xml:space="preserve">UNIDAD XI 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Diseño de controladores con realimentación negativa. Criterios de actuación. Ajuste. Implementación de control automático. Controladores. Medidores. Transmisores. Elementos finales de control.</w:t>
      </w:r>
    </w:p>
    <w:p w:rsidR="00000000" w:rsidDel="00000000" w:rsidP="00000000" w:rsidRDefault="00000000" w:rsidRPr="00000000" w14:paraId="00000027">
      <w:pPr>
        <w:pStyle w:val="Heading2"/>
        <w:rPr/>
      </w:pPr>
      <w:bookmarkStart w:colFirst="0" w:colLast="0" w:name="_vus0cv2kocek" w:id="12"/>
      <w:bookmarkEnd w:id="12"/>
      <w:r w:rsidDel="00000000" w:rsidR="00000000" w:rsidRPr="00000000">
        <w:rPr>
          <w:rtl w:val="0"/>
        </w:rPr>
        <w:t xml:space="preserve">UNIDAD XII </w:t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Otras estrategias de control. Deficiencias del control por realimentación negativa. Control en cascada. Control selectivo. Control de rango partido. Control por avanacción. Control de relación. Control de subsistemas con demoras o con respuesta inversa. Control adaptivo. Control inferencial.</w:t>
      </w:r>
    </w:p>
    <w:p w:rsidR="00000000" w:rsidDel="00000000" w:rsidP="00000000" w:rsidRDefault="00000000" w:rsidRPr="00000000" w14:paraId="00000029">
      <w:pPr>
        <w:pStyle w:val="Heading2"/>
        <w:rPr/>
      </w:pPr>
      <w:bookmarkStart w:colFirst="0" w:colLast="0" w:name="_vacontada2ip" w:id="13"/>
      <w:bookmarkEnd w:id="13"/>
      <w:r w:rsidDel="00000000" w:rsidR="00000000" w:rsidRPr="00000000">
        <w:rPr>
          <w:rtl w:val="0"/>
        </w:rPr>
        <w:t xml:space="preserve">UNIDAD XIII </w:t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Control de sistemas con entradas y salidas múltiples. Grados de libertad. Variables manipuladas y controladas. Configuraciones alternativas. Interacción y desacople.</w:t>
      </w:r>
    </w:p>
    <w:p w:rsidR="00000000" w:rsidDel="00000000" w:rsidP="00000000" w:rsidRDefault="00000000" w:rsidRPr="00000000" w14:paraId="0000002B">
      <w:pPr>
        <w:pStyle w:val="Heading2"/>
        <w:rPr/>
      </w:pPr>
      <w:bookmarkStart w:colFirst="0" w:colLast="0" w:name="_edg5n0tgcv22" w:id="14"/>
      <w:bookmarkEnd w:id="14"/>
      <w:r w:rsidDel="00000000" w:rsidR="00000000" w:rsidRPr="00000000">
        <w:rPr>
          <w:rtl w:val="0"/>
        </w:rPr>
        <w:t xml:space="preserve">UNIDAD XIV </w:t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Simulación de procesos químicos. SIMULINK</w:t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5ts89gu6sbfc" w:id="15"/>
      <w:bookmarkEnd w:id="15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Stephanopoulos G. – Chemical Process Control. – Prentice Hall, 1984.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Smith y Corripio – Principles and Practice of Automatic Process Control – John Wiley and Sons, 1984.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Luyben W. – Process modeling, simulation and control for chemical engineers. – Mc Graw hill, 1990.</w:t>
      </w:r>
    </w:p>
    <w:p w:rsidR="00000000" w:rsidDel="00000000" w:rsidP="00000000" w:rsidRDefault="00000000" w:rsidRPr="00000000" w14:paraId="00000033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80" w:line="273.6" w:lineRule="auto"/>
        <w:ind w:left="72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F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6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7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8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9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A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B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C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3D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