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w:cs="Roboto" w:eastAsia="Roboto" w:hAnsi="Roboto"/>
          <w:sz w:val="16"/>
          <w:szCs w:val="16"/>
        </w:rPr>
      </w:pPr>
      <w:r w:rsidDel="00000000" w:rsidR="00000000" w:rsidRPr="00000000">
        <w:rPr>
          <w:rtl w:val="0"/>
        </w:rPr>
      </w:r>
    </w:p>
    <w:tbl>
      <w:tblPr>
        <w:tblStyle w:val="Table1"/>
        <w:tblW w:w="9630.0" w:type="dxa"/>
        <w:jc w:val="center"/>
        <w:tblLayout w:type="fixed"/>
        <w:tblLook w:val="0600"/>
      </w:tblPr>
      <w:tblGrid>
        <w:gridCol w:w="1710"/>
        <w:gridCol w:w="5865"/>
        <w:gridCol w:w="855"/>
        <w:gridCol w:w="1200"/>
        <w:tblGridChange w:id="0">
          <w:tblGrid>
            <w:gridCol w:w="1710"/>
            <w:gridCol w:w="5865"/>
            <w:gridCol w:w="855"/>
            <w:gridCol w:w="1200"/>
          </w:tblGrid>
        </w:tblGridChange>
      </w:tblGrid>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2">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CARRERA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Ingeniería Química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4">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PLAN</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2003</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6">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ASIGNATURA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Transferencia de Masa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8">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COD.</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9">
            <w:pPr>
              <w:widowControl w:val="0"/>
              <w:spacing w:line="240" w:lineRule="auto"/>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1OB</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TIPO</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Obligatoria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0E">
      <w:pPr>
        <w:rPr>
          <w:rFonts w:ascii="Roboto" w:cs="Roboto" w:eastAsia="Roboto" w:hAnsi="Robo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1"/>
        <w:rPr>
          <w:sz w:val="32"/>
          <w:szCs w:val="32"/>
        </w:rPr>
      </w:pPr>
      <w:bookmarkStart w:colFirst="0" w:colLast="0" w:name="_nddimbltco0o" w:id="0"/>
      <w:bookmarkEnd w:id="0"/>
      <w:r w:rsidDel="00000000" w:rsidR="00000000" w:rsidRPr="00000000">
        <w:rPr>
          <w:rtl w:val="0"/>
        </w:rPr>
        <w:t xml:space="preserve">PROGRAMA ANALÍTICO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0">
      <w:pPr>
        <w:jc w:val="center"/>
        <w:rPr>
          <w:rFonts w:ascii="Roboto" w:cs="Roboto" w:eastAsia="Roboto" w:hAnsi="Roboto"/>
          <w:sz w:val="20"/>
          <w:szCs w:val="20"/>
        </w:rPr>
      </w:pPr>
      <w:r w:rsidDel="00000000" w:rsidR="00000000" w:rsidRPr="00000000">
        <w:rPr>
          <w:rFonts w:ascii="Roboto" w:cs="Roboto" w:eastAsia="Roboto" w:hAnsi="Roboto"/>
          <w:sz w:val="20"/>
          <w:szCs w:val="20"/>
          <w:rtl w:val="0"/>
        </w:rPr>
        <w:t xml:space="preserve">(A partir del Ciclo Lectivo 2016)</w:t>
      </w:r>
    </w:p>
    <w:p w:rsidR="00000000" w:rsidDel="00000000" w:rsidP="00000000" w:rsidRDefault="00000000" w:rsidRPr="00000000" w14:paraId="00000011">
      <w:pPr>
        <w:pStyle w:val="Heading2"/>
        <w:rPr/>
      </w:pPr>
      <w:bookmarkStart w:colFirst="0" w:colLast="0" w:name="_bsl3u65dwc34" w:id="1"/>
      <w:bookmarkEnd w:id="1"/>
      <w:r w:rsidDel="00000000" w:rsidR="00000000" w:rsidRPr="00000000">
        <w:rPr>
          <w:rtl w:val="0"/>
        </w:rPr>
        <w:t xml:space="preserve">UNIDAD 1 Fundamentos del Transporte de Materia</w:t>
      </w:r>
    </w:p>
    <w:p w:rsidR="00000000" w:rsidDel="00000000" w:rsidP="00000000" w:rsidRDefault="00000000" w:rsidRPr="00000000" w14:paraId="00000012">
      <w:pPr>
        <w:rPr>
          <w:rFonts w:ascii="Roboto" w:cs="Roboto" w:eastAsia="Roboto" w:hAnsi="Roboto"/>
        </w:rPr>
      </w:pPr>
      <w:r w:rsidDel="00000000" w:rsidR="00000000" w:rsidRPr="00000000">
        <w:rPr>
          <w:rFonts w:ascii="Roboto" w:cs="Roboto" w:eastAsia="Roboto" w:hAnsi="Roboto"/>
          <w:rtl w:val="0"/>
        </w:rPr>
        <w:t xml:space="preserve">Introducción a las operaciones de transferencia de materia. Procesos de separación. Clasificación. Ejemplos. Definición de concentraciones, velocidades y flujo de materia. Tipos de flujo difusivo. Ley de Fick. Ecuaciones de Stefan-Maxwell. Difusividad multicomponente. Estimación del coeficiente de difusión en gases y líquidos. Ecuación de continuidad en una mezcla multicomponente. Caso particular de un sistema binario. Analogía con transferencia de calor. Resolución de ejemplos simples. Balance macroscópico diferencial.</w:t>
      </w:r>
    </w:p>
    <w:p w:rsidR="00000000" w:rsidDel="00000000" w:rsidP="00000000" w:rsidRDefault="00000000" w:rsidRPr="00000000" w14:paraId="00000013">
      <w:pPr>
        <w:rPr>
          <w:rFonts w:ascii="Roboto" w:cs="Roboto" w:eastAsia="Roboto" w:hAnsi="Roboto"/>
        </w:rPr>
      </w:pPr>
      <w:r w:rsidDel="00000000" w:rsidR="00000000" w:rsidRPr="00000000">
        <w:rPr>
          <w:rFonts w:ascii="Roboto" w:cs="Roboto" w:eastAsia="Roboto" w:hAnsi="Roboto"/>
          <w:b w:val="1"/>
          <w:rtl w:val="0"/>
        </w:rPr>
        <w:t xml:space="preserve">Bibliografía</w:t>
      </w:r>
      <w:r w:rsidDel="00000000" w:rsidR="00000000" w:rsidRPr="00000000">
        <w:rPr>
          <w:rFonts w:ascii="Roboto" w:cs="Roboto" w:eastAsia="Roboto" w:hAnsi="Roboto"/>
          <w:rtl w:val="0"/>
        </w:rPr>
        <w:t xml:space="preserve">: Bird, Treybal, Maddox.</w:t>
      </w:r>
    </w:p>
    <w:p w:rsidR="00000000" w:rsidDel="00000000" w:rsidP="00000000" w:rsidRDefault="00000000" w:rsidRPr="00000000" w14:paraId="00000014">
      <w:pPr>
        <w:pStyle w:val="Heading2"/>
        <w:rPr/>
      </w:pPr>
      <w:bookmarkStart w:colFirst="0" w:colLast="0" w:name="_5ajcz3avzvsl" w:id="2"/>
      <w:bookmarkEnd w:id="2"/>
      <w:r w:rsidDel="00000000" w:rsidR="00000000" w:rsidRPr="00000000">
        <w:rPr>
          <w:rtl w:val="0"/>
        </w:rPr>
        <w:t xml:space="preserve">UNIDAD 2 Transporte de Materia en Interfaces</w:t>
      </w:r>
    </w:p>
    <w:p w:rsidR="00000000" w:rsidDel="00000000" w:rsidP="00000000" w:rsidRDefault="00000000" w:rsidRPr="00000000" w14:paraId="00000015">
      <w:pPr>
        <w:rPr>
          <w:rFonts w:ascii="Roboto" w:cs="Roboto" w:eastAsia="Roboto" w:hAnsi="Roboto"/>
        </w:rPr>
      </w:pPr>
      <w:r w:rsidDel="00000000" w:rsidR="00000000" w:rsidRPr="00000000">
        <w:rPr>
          <w:rFonts w:ascii="Roboto" w:cs="Roboto" w:eastAsia="Roboto" w:hAnsi="Roboto"/>
          <w:rtl w:val="0"/>
        </w:rPr>
        <w:t xml:space="preserve">Modelo de la película. Definición de coeficientes interfaciales de transferencia de materia. Casos particulares. Soluciones diluidas. Dependencia funcional del coeficiente de transferencia de materia. Correlaciones adimensionales. Analogía con la transferencia de calor. Transporte de materia entre dos fases. Condición de equilibrio en la interfase. Coeficientes de transferencia globales. Expresiones para soluciones diluidas y concentradas. Resistencias controlantes.</w:t>
      </w:r>
    </w:p>
    <w:p w:rsidR="00000000" w:rsidDel="00000000" w:rsidP="00000000" w:rsidRDefault="00000000" w:rsidRPr="00000000" w14:paraId="00000016">
      <w:pPr>
        <w:rPr>
          <w:rFonts w:ascii="Roboto" w:cs="Roboto" w:eastAsia="Roboto" w:hAnsi="Roboto"/>
        </w:rPr>
      </w:pPr>
      <w:r w:rsidDel="00000000" w:rsidR="00000000" w:rsidRPr="00000000">
        <w:rPr>
          <w:rFonts w:ascii="Roboto" w:cs="Roboto" w:eastAsia="Roboto" w:hAnsi="Roboto"/>
          <w:b w:val="1"/>
          <w:rtl w:val="0"/>
        </w:rPr>
        <w:t xml:space="preserve">Bibliografía</w:t>
      </w:r>
      <w:r w:rsidDel="00000000" w:rsidR="00000000" w:rsidRPr="00000000">
        <w:rPr>
          <w:rFonts w:ascii="Roboto" w:cs="Roboto" w:eastAsia="Roboto" w:hAnsi="Roboto"/>
          <w:rtl w:val="0"/>
        </w:rPr>
        <w:t xml:space="preserve">: Treybal, Maddox, Cussler.</w:t>
      </w:r>
    </w:p>
    <w:p w:rsidR="00000000" w:rsidDel="00000000" w:rsidP="00000000" w:rsidRDefault="00000000" w:rsidRPr="00000000" w14:paraId="00000017">
      <w:pPr>
        <w:pStyle w:val="Heading2"/>
        <w:rPr/>
      </w:pPr>
      <w:bookmarkStart w:colFirst="0" w:colLast="0" w:name="_x5rf6h7fbi5n" w:id="3"/>
      <w:bookmarkEnd w:id="3"/>
      <w:r w:rsidDel="00000000" w:rsidR="00000000" w:rsidRPr="00000000">
        <w:rPr>
          <w:rtl w:val="0"/>
        </w:rPr>
        <w:t xml:space="preserve">UNIDAD 3 Operaciones de Transferencia de Materia</w:t>
      </w:r>
    </w:p>
    <w:p w:rsidR="00000000" w:rsidDel="00000000" w:rsidP="00000000" w:rsidRDefault="00000000" w:rsidRPr="00000000" w14:paraId="00000018">
      <w:pPr>
        <w:rPr>
          <w:rFonts w:ascii="Roboto" w:cs="Roboto" w:eastAsia="Roboto" w:hAnsi="Roboto"/>
        </w:rPr>
      </w:pPr>
      <w:r w:rsidDel="00000000" w:rsidR="00000000" w:rsidRPr="00000000">
        <w:rPr>
          <w:rFonts w:ascii="Roboto" w:cs="Roboto" w:eastAsia="Roboto" w:hAnsi="Roboto"/>
          <w:rtl w:val="0"/>
        </w:rPr>
        <w:t xml:space="preserve">Operaciones discontinuas. Operaciones continuas en estado estacionario. Contacto en corrientes paralelas o en contracorriente. Operaciones de contacto contínuo. Altura y número de unidades de transferencia. Operaciones de contacto en etapas. Etapa teórica o ideal. Cascadas con flujo cruzado y en contracorriente. Ecuaciones de Kremser, Brown y Sauders. Etapas reales. Eficiencia Murphree, Eficiencia global de una cascada en etapas.</w:t>
      </w:r>
    </w:p>
    <w:p w:rsidR="00000000" w:rsidDel="00000000" w:rsidP="00000000" w:rsidRDefault="00000000" w:rsidRPr="00000000" w14:paraId="00000019">
      <w:pPr>
        <w:rPr>
          <w:rFonts w:ascii="Roboto" w:cs="Roboto" w:eastAsia="Roboto" w:hAnsi="Roboto"/>
        </w:rPr>
      </w:pPr>
      <w:r w:rsidDel="00000000" w:rsidR="00000000" w:rsidRPr="00000000">
        <w:rPr>
          <w:rFonts w:ascii="Roboto" w:cs="Roboto" w:eastAsia="Roboto" w:hAnsi="Roboto"/>
          <w:b w:val="1"/>
          <w:rtl w:val="0"/>
        </w:rPr>
        <w:t xml:space="preserve">Bibliografía</w:t>
      </w:r>
      <w:r w:rsidDel="00000000" w:rsidR="00000000" w:rsidRPr="00000000">
        <w:rPr>
          <w:rFonts w:ascii="Roboto" w:cs="Roboto" w:eastAsia="Roboto" w:hAnsi="Roboto"/>
          <w:rtl w:val="0"/>
        </w:rPr>
        <w:t xml:space="preserve">: Treybal, Maddox.</w:t>
      </w:r>
    </w:p>
    <w:p w:rsidR="00000000" w:rsidDel="00000000" w:rsidP="00000000" w:rsidRDefault="00000000" w:rsidRPr="00000000" w14:paraId="0000001A">
      <w:pPr>
        <w:pStyle w:val="Heading2"/>
        <w:rPr/>
      </w:pPr>
      <w:bookmarkStart w:colFirst="0" w:colLast="0" w:name="_r08qic4un3bn" w:id="4"/>
      <w:bookmarkEnd w:id="4"/>
      <w:r w:rsidDel="00000000" w:rsidR="00000000" w:rsidRPr="00000000">
        <w:rPr>
          <w:rtl w:val="0"/>
        </w:rPr>
        <w:t xml:space="preserve">UNIDAD 4 Absorción</w:t>
      </w:r>
    </w:p>
    <w:p w:rsidR="00000000" w:rsidDel="00000000" w:rsidP="00000000" w:rsidRDefault="00000000" w:rsidRPr="00000000" w14:paraId="0000001B">
      <w:pPr>
        <w:rPr>
          <w:rFonts w:ascii="Roboto" w:cs="Roboto" w:eastAsia="Roboto" w:hAnsi="Roboto"/>
        </w:rPr>
      </w:pPr>
      <w:r w:rsidDel="00000000" w:rsidR="00000000" w:rsidRPr="00000000">
        <w:rPr>
          <w:rFonts w:ascii="Roboto" w:cs="Roboto" w:eastAsia="Roboto" w:hAnsi="Roboto"/>
          <w:rtl w:val="0"/>
        </w:rPr>
        <w:t xml:space="preserve">Equilibrio. Elección del solvente. Operación isotérmica en torres rellenas y torres de etapas. Soluciones analíticas para soluciones diluidas. Operación adiabática en torres rellenas y torres de etapas.</w:t>
      </w:r>
    </w:p>
    <w:p w:rsidR="00000000" w:rsidDel="00000000" w:rsidP="00000000" w:rsidRDefault="00000000" w:rsidRPr="00000000" w14:paraId="0000001C">
      <w:pPr>
        <w:rPr>
          <w:rFonts w:ascii="Roboto" w:cs="Roboto" w:eastAsia="Roboto" w:hAnsi="Roboto"/>
        </w:rPr>
      </w:pPr>
      <w:r w:rsidDel="00000000" w:rsidR="00000000" w:rsidRPr="00000000">
        <w:rPr>
          <w:rFonts w:ascii="Roboto" w:cs="Roboto" w:eastAsia="Roboto" w:hAnsi="Roboto"/>
          <w:b w:val="1"/>
          <w:rtl w:val="0"/>
        </w:rPr>
        <w:t xml:space="preserve">Bibliografía</w:t>
      </w:r>
      <w:r w:rsidDel="00000000" w:rsidR="00000000" w:rsidRPr="00000000">
        <w:rPr>
          <w:rFonts w:ascii="Roboto" w:cs="Roboto" w:eastAsia="Roboto" w:hAnsi="Roboto"/>
          <w:rtl w:val="0"/>
        </w:rPr>
        <w:t xml:space="preserve">: Treybal, Maddox, Sherwood.</w:t>
      </w:r>
    </w:p>
    <w:p w:rsidR="00000000" w:rsidDel="00000000" w:rsidP="00000000" w:rsidRDefault="00000000" w:rsidRPr="00000000" w14:paraId="0000001D">
      <w:pPr>
        <w:pStyle w:val="Heading2"/>
        <w:rPr/>
      </w:pPr>
      <w:bookmarkStart w:colFirst="0" w:colLast="0" w:name="_dh5vpkkcig3f" w:id="5"/>
      <w:bookmarkEnd w:id="5"/>
      <w:r w:rsidDel="00000000" w:rsidR="00000000" w:rsidRPr="00000000">
        <w:rPr>
          <w:rtl w:val="0"/>
        </w:rPr>
        <w:t xml:space="preserve">UNIDAD 5 Equipos para el contacto líquido-Vapor</w:t>
      </w:r>
    </w:p>
    <w:p w:rsidR="00000000" w:rsidDel="00000000" w:rsidP="00000000" w:rsidRDefault="00000000" w:rsidRPr="00000000" w14:paraId="0000001E">
      <w:pPr>
        <w:rPr>
          <w:rFonts w:ascii="Roboto" w:cs="Roboto" w:eastAsia="Roboto" w:hAnsi="Roboto"/>
        </w:rPr>
      </w:pPr>
      <w:r w:rsidDel="00000000" w:rsidR="00000000" w:rsidRPr="00000000">
        <w:rPr>
          <w:rFonts w:ascii="Roboto" w:cs="Roboto" w:eastAsia="Roboto" w:hAnsi="Roboto"/>
          <w:b w:val="1"/>
          <w:rtl w:val="0"/>
        </w:rPr>
        <w:t xml:space="preserve">Bibliografía</w:t>
      </w:r>
      <w:r w:rsidDel="00000000" w:rsidR="00000000" w:rsidRPr="00000000">
        <w:rPr>
          <w:rFonts w:ascii="Roboto" w:cs="Roboto" w:eastAsia="Roboto" w:hAnsi="Roboto"/>
          <w:rtl w:val="0"/>
        </w:rPr>
        <w:t xml:space="preserve">: Treybal, King, Henley.</w:t>
      </w:r>
    </w:p>
    <w:p w:rsidR="00000000" w:rsidDel="00000000" w:rsidP="00000000" w:rsidRDefault="00000000" w:rsidRPr="00000000" w14:paraId="0000001F">
      <w:pPr>
        <w:pStyle w:val="Heading2"/>
        <w:rPr/>
      </w:pPr>
      <w:bookmarkStart w:colFirst="0" w:colLast="0" w:name="_tzibg1vgbxbg" w:id="6"/>
      <w:bookmarkEnd w:id="6"/>
      <w:r w:rsidDel="00000000" w:rsidR="00000000" w:rsidRPr="00000000">
        <w:rPr>
          <w:rtl w:val="0"/>
        </w:rPr>
        <w:t xml:space="preserve">UNIDAD 6 Transferencia Simultánea de calor y materia</w:t>
      </w:r>
    </w:p>
    <w:p w:rsidR="00000000" w:rsidDel="00000000" w:rsidP="00000000" w:rsidRDefault="00000000" w:rsidRPr="00000000" w14:paraId="00000020">
      <w:pPr>
        <w:rPr>
          <w:rFonts w:ascii="Roboto" w:cs="Roboto" w:eastAsia="Roboto" w:hAnsi="Roboto"/>
        </w:rPr>
      </w:pPr>
      <w:r w:rsidDel="00000000" w:rsidR="00000000" w:rsidRPr="00000000">
        <w:rPr>
          <w:rFonts w:ascii="Roboto" w:cs="Roboto" w:eastAsia="Roboto" w:hAnsi="Roboto"/>
          <w:rtl w:val="0"/>
        </w:rPr>
        <w:t xml:space="preserve">Modelo de la película. Efecto de la transferencia de materia sobre el transporte de calor. Corrección de Ackermann.</w:t>
      </w:r>
    </w:p>
    <w:p w:rsidR="00000000" w:rsidDel="00000000" w:rsidP="00000000" w:rsidRDefault="00000000" w:rsidRPr="00000000" w14:paraId="00000021">
      <w:pPr>
        <w:rPr>
          <w:rFonts w:ascii="Roboto" w:cs="Roboto" w:eastAsia="Roboto" w:hAnsi="Roboto"/>
        </w:rPr>
      </w:pPr>
      <w:r w:rsidDel="00000000" w:rsidR="00000000" w:rsidRPr="00000000">
        <w:rPr>
          <w:rFonts w:ascii="Roboto" w:cs="Roboto" w:eastAsia="Roboto" w:hAnsi="Roboto"/>
          <w:b w:val="1"/>
          <w:rtl w:val="0"/>
        </w:rPr>
        <w:t xml:space="preserve">Bibliografía</w:t>
      </w:r>
      <w:r w:rsidDel="00000000" w:rsidR="00000000" w:rsidRPr="00000000">
        <w:rPr>
          <w:rFonts w:ascii="Roboto" w:cs="Roboto" w:eastAsia="Roboto" w:hAnsi="Roboto"/>
          <w:rtl w:val="0"/>
        </w:rPr>
        <w:t xml:space="preserve">: Treybal, Sherwood.</w:t>
      </w:r>
    </w:p>
    <w:p w:rsidR="00000000" w:rsidDel="00000000" w:rsidP="00000000" w:rsidRDefault="00000000" w:rsidRPr="00000000" w14:paraId="00000022">
      <w:pPr>
        <w:pStyle w:val="Heading2"/>
        <w:rPr/>
      </w:pPr>
      <w:bookmarkStart w:colFirst="0" w:colLast="0" w:name="_gtmm2ajdl4y7" w:id="7"/>
      <w:bookmarkEnd w:id="7"/>
      <w:r w:rsidDel="00000000" w:rsidR="00000000" w:rsidRPr="00000000">
        <w:rPr>
          <w:rtl w:val="0"/>
        </w:rPr>
        <w:t xml:space="preserve">UNIDAD 7 Torres de enfriamiento de agua</w:t>
      </w:r>
    </w:p>
    <w:p w:rsidR="00000000" w:rsidDel="00000000" w:rsidP="00000000" w:rsidRDefault="00000000" w:rsidRPr="00000000" w14:paraId="00000023">
      <w:pPr>
        <w:rPr>
          <w:rFonts w:ascii="Roboto" w:cs="Roboto" w:eastAsia="Roboto" w:hAnsi="Roboto"/>
        </w:rPr>
      </w:pPr>
      <w:r w:rsidDel="00000000" w:rsidR="00000000" w:rsidRPr="00000000">
        <w:rPr>
          <w:rFonts w:ascii="Roboto" w:cs="Roboto" w:eastAsia="Roboto" w:hAnsi="Roboto"/>
          <w:rtl w:val="0"/>
        </w:rPr>
        <w:t xml:space="preserve">Características particulares del sistema aire-agua. Diagrama psicrométrico. Saturación adiabática. Temperatura de bulbo húmedo. Transporte simultáneo de calor y materia en el sistema aire-agua, Ecuaciones de diseño. Cálculo de una torre de enfriamiento. Análisis del funcionamiento de una torre existente. Agua de reposición. Test de aceptación de una torre.</w:t>
      </w:r>
    </w:p>
    <w:p w:rsidR="00000000" w:rsidDel="00000000" w:rsidP="00000000" w:rsidRDefault="00000000" w:rsidRPr="00000000" w14:paraId="00000024">
      <w:pPr>
        <w:rPr>
          <w:rFonts w:ascii="Roboto" w:cs="Roboto" w:eastAsia="Roboto" w:hAnsi="Roboto"/>
        </w:rPr>
      </w:pPr>
      <w:r w:rsidDel="00000000" w:rsidR="00000000" w:rsidRPr="00000000">
        <w:rPr>
          <w:rFonts w:ascii="Roboto" w:cs="Roboto" w:eastAsia="Roboto" w:hAnsi="Roboto"/>
          <w:b w:val="1"/>
          <w:rtl w:val="0"/>
        </w:rPr>
        <w:t xml:space="preserve">Bibliografía</w:t>
      </w:r>
      <w:r w:rsidDel="00000000" w:rsidR="00000000" w:rsidRPr="00000000">
        <w:rPr>
          <w:rFonts w:ascii="Roboto" w:cs="Roboto" w:eastAsia="Roboto" w:hAnsi="Roboto"/>
          <w:rtl w:val="0"/>
        </w:rPr>
        <w:t xml:space="preserve">: Treybal, Sawitowsky.</w:t>
      </w:r>
    </w:p>
    <w:p w:rsidR="00000000" w:rsidDel="00000000" w:rsidP="00000000" w:rsidRDefault="00000000" w:rsidRPr="00000000" w14:paraId="00000025">
      <w:pPr>
        <w:pStyle w:val="Heading2"/>
        <w:rPr/>
      </w:pPr>
      <w:bookmarkStart w:colFirst="0" w:colLast="0" w:name="_xzshe3ww528s" w:id="8"/>
      <w:bookmarkEnd w:id="8"/>
      <w:r w:rsidDel="00000000" w:rsidR="00000000" w:rsidRPr="00000000">
        <w:rPr>
          <w:rtl w:val="0"/>
        </w:rPr>
        <w:t xml:space="preserve">UNIDAD 8 Secado</w:t>
      </w:r>
    </w:p>
    <w:p w:rsidR="00000000" w:rsidDel="00000000" w:rsidP="00000000" w:rsidRDefault="00000000" w:rsidRPr="00000000" w14:paraId="00000026">
      <w:pPr>
        <w:rPr>
          <w:rFonts w:ascii="Roboto" w:cs="Roboto" w:eastAsia="Roboto" w:hAnsi="Roboto"/>
        </w:rPr>
      </w:pPr>
      <w:r w:rsidDel="00000000" w:rsidR="00000000" w:rsidRPr="00000000">
        <w:rPr>
          <w:rFonts w:ascii="Roboto" w:cs="Roboto" w:eastAsia="Roboto" w:hAnsi="Roboto"/>
          <w:rtl w:val="0"/>
        </w:rPr>
        <w:t xml:space="preserve">Isotermas de sorción. Operación de secado discontinuo. Cálculo del tiempo de secado. Operación de secado continuo. Equipos. Análisis de casos límites de altas y bajas temperaturas.</w:t>
      </w:r>
    </w:p>
    <w:p w:rsidR="00000000" w:rsidDel="00000000" w:rsidP="00000000" w:rsidRDefault="00000000" w:rsidRPr="00000000" w14:paraId="00000027">
      <w:pPr>
        <w:rPr>
          <w:rFonts w:ascii="Roboto" w:cs="Roboto" w:eastAsia="Roboto" w:hAnsi="Roboto"/>
        </w:rPr>
      </w:pPr>
      <w:r w:rsidDel="00000000" w:rsidR="00000000" w:rsidRPr="00000000">
        <w:rPr>
          <w:rFonts w:ascii="Roboto" w:cs="Roboto" w:eastAsia="Roboto" w:hAnsi="Roboto"/>
          <w:b w:val="1"/>
          <w:rtl w:val="0"/>
        </w:rPr>
        <w:t xml:space="preserve">Bibliografía</w:t>
      </w:r>
      <w:r w:rsidDel="00000000" w:rsidR="00000000" w:rsidRPr="00000000">
        <w:rPr>
          <w:rFonts w:ascii="Roboto" w:cs="Roboto" w:eastAsia="Roboto" w:hAnsi="Roboto"/>
          <w:rtl w:val="0"/>
        </w:rPr>
        <w:t xml:space="preserve">: Treybal.</w:t>
      </w:r>
    </w:p>
    <w:p w:rsidR="00000000" w:rsidDel="00000000" w:rsidP="00000000" w:rsidRDefault="00000000" w:rsidRPr="00000000" w14:paraId="00000028">
      <w:pPr>
        <w:pStyle w:val="Heading2"/>
        <w:rPr/>
      </w:pPr>
      <w:bookmarkStart w:colFirst="0" w:colLast="0" w:name="_3hy5olg5uzqv" w:id="9"/>
      <w:bookmarkEnd w:id="9"/>
      <w:r w:rsidDel="00000000" w:rsidR="00000000" w:rsidRPr="00000000">
        <w:rPr>
          <w:rtl w:val="0"/>
        </w:rPr>
        <w:t xml:space="preserve">UNIDAD 9 Destilación</w:t>
      </w:r>
    </w:p>
    <w:p w:rsidR="00000000" w:rsidDel="00000000" w:rsidP="00000000" w:rsidRDefault="00000000" w:rsidRPr="00000000" w14:paraId="00000029">
      <w:pPr>
        <w:rPr>
          <w:rFonts w:ascii="Roboto" w:cs="Roboto" w:eastAsia="Roboto" w:hAnsi="Roboto"/>
        </w:rPr>
      </w:pPr>
      <w:r w:rsidDel="00000000" w:rsidR="00000000" w:rsidRPr="00000000">
        <w:rPr>
          <w:rFonts w:ascii="Roboto" w:cs="Roboto" w:eastAsia="Roboto" w:hAnsi="Roboto"/>
          <w:rtl w:val="0"/>
        </w:rPr>
        <w:t xml:space="preserve">Equilibrio líquido-vapor. Destilación flash en sistemas binarios y multicomponentes. Destilación diferencial. Análisis de torres de destilación en etapas para sistemas binarios. Método de Mc Cabe-Thiele. Análisis de alternativas: vapor directo, condensación parcial, alimentaciones múltiples. Destilación discontinua. Destilación azeotrópica (miscibilidad parcial). Pérdidas de calor laterales. Torres rellenas. Métodos aproximados para la destilación multicomponentes.</w:t>
      </w:r>
    </w:p>
    <w:p w:rsidR="00000000" w:rsidDel="00000000" w:rsidP="00000000" w:rsidRDefault="00000000" w:rsidRPr="00000000" w14:paraId="0000002A">
      <w:pPr>
        <w:rPr>
          <w:rFonts w:ascii="Roboto" w:cs="Roboto" w:eastAsia="Roboto" w:hAnsi="Roboto"/>
        </w:rPr>
      </w:pPr>
      <w:r w:rsidDel="00000000" w:rsidR="00000000" w:rsidRPr="00000000">
        <w:rPr>
          <w:rFonts w:ascii="Roboto" w:cs="Roboto" w:eastAsia="Roboto" w:hAnsi="Roboto"/>
          <w:b w:val="1"/>
          <w:rtl w:val="0"/>
        </w:rPr>
        <w:t xml:space="preserve">Bibliografía</w:t>
      </w:r>
      <w:r w:rsidDel="00000000" w:rsidR="00000000" w:rsidRPr="00000000">
        <w:rPr>
          <w:rFonts w:ascii="Roboto" w:cs="Roboto" w:eastAsia="Roboto" w:hAnsi="Roboto"/>
          <w:rtl w:val="0"/>
        </w:rPr>
        <w:t xml:space="preserve">: Treybal, King, Henley, Maddox.</w:t>
      </w:r>
    </w:p>
    <w:p w:rsidR="00000000" w:rsidDel="00000000" w:rsidP="00000000" w:rsidRDefault="00000000" w:rsidRPr="00000000" w14:paraId="0000002B">
      <w:pPr>
        <w:pStyle w:val="Heading2"/>
        <w:rPr/>
      </w:pPr>
      <w:bookmarkStart w:colFirst="0" w:colLast="0" w:name="_waqfjq5hrhdy" w:id="10"/>
      <w:bookmarkEnd w:id="10"/>
      <w:r w:rsidDel="00000000" w:rsidR="00000000" w:rsidRPr="00000000">
        <w:rPr>
          <w:rtl w:val="0"/>
        </w:rPr>
        <w:t xml:space="preserve">UNIDAD 10 Extracción líquido-líquido</w:t>
      </w:r>
    </w:p>
    <w:p w:rsidR="00000000" w:rsidDel="00000000" w:rsidP="00000000" w:rsidRDefault="00000000" w:rsidRPr="00000000" w14:paraId="0000002C">
      <w:pPr>
        <w:rPr>
          <w:rFonts w:ascii="Roboto" w:cs="Roboto" w:eastAsia="Roboto" w:hAnsi="Roboto"/>
        </w:rPr>
      </w:pPr>
      <w:r w:rsidDel="00000000" w:rsidR="00000000" w:rsidRPr="00000000">
        <w:rPr>
          <w:rFonts w:ascii="Roboto" w:cs="Roboto" w:eastAsia="Roboto" w:hAnsi="Roboto"/>
          <w:rtl w:val="0"/>
        </w:rPr>
        <w:t xml:space="preserve">Equilibrio. Criterios de selección del solvente. Contacto en etapas: Etapa única, etapas con corrientes cruzadas, etapas en contracorriente con y sin reflujo. Contacto continuo. Equipos.</w:t>
      </w:r>
    </w:p>
    <w:p w:rsidR="00000000" w:rsidDel="00000000" w:rsidP="00000000" w:rsidRDefault="00000000" w:rsidRPr="00000000" w14:paraId="0000002D">
      <w:pPr>
        <w:rPr>
          <w:rFonts w:ascii="Roboto" w:cs="Roboto" w:eastAsia="Roboto" w:hAnsi="Roboto"/>
        </w:rPr>
      </w:pPr>
      <w:r w:rsidDel="00000000" w:rsidR="00000000" w:rsidRPr="00000000">
        <w:rPr>
          <w:rFonts w:ascii="Roboto" w:cs="Roboto" w:eastAsia="Roboto" w:hAnsi="Roboto"/>
          <w:b w:val="1"/>
          <w:rtl w:val="0"/>
        </w:rPr>
        <w:t xml:space="preserve">Bibliografía</w:t>
      </w:r>
      <w:r w:rsidDel="00000000" w:rsidR="00000000" w:rsidRPr="00000000">
        <w:rPr>
          <w:rFonts w:ascii="Roboto" w:cs="Roboto" w:eastAsia="Roboto" w:hAnsi="Roboto"/>
          <w:rtl w:val="0"/>
        </w:rPr>
        <w:t xml:space="preserve">: Treybal, Treybal L-L.</w:t>
      </w:r>
    </w:p>
    <w:p w:rsidR="00000000" w:rsidDel="00000000" w:rsidP="00000000" w:rsidRDefault="00000000" w:rsidRPr="00000000" w14:paraId="0000002E">
      <w:pPr>
        <w:pStyle w:val="Heading2"/>
        <w:rPr/>
      </w:pPr>
      <w:bookmarkStart w:colFirst="0" w:colLast="0" w:name="_l4lnfftk7a8w" w:id="11"/>
      <w:bookmarkEnd w:id="11"/>
      <w:r w:rsidDel="00000000" w:rsidR="00000000" w:rsidRPr="00000000">
        <w:rPr>
          <w:rtl w:val="0"/>
        </w:rPr>
        <w:t xml:space="preserve">UNIDAD 11 Adsorción e intercambio iónico</w:t>
      </w:r>
    </w:p>
    <w:p w:rsidR="00000000" w:rsidDel="00000000" w:rsidP="00000000" w:rsidRDefault="00000000" w:rsidRPr="00000000" w14:paraId="0000002F">
      <w:pPr>
        <w:rPr>
          <w:rFonts w:ascii="Roboto" w:cs="Roboto" w:eastAsia="Roboto" w:hAnsi="Roboto"/>
        </w:rPr>
      </w:pPr>
      <w:r w:rsidDel="00000000" w:rsidR="00000000" w:rsidRPr="00000000">
        <w:rPr>
          <w:rFonts w:ascii="Roboto" w:cs="Roboto" w:eastAsia="Roboto" w:hAnsi="Roboto"/>
          <w:rtl w:val="0"/>
        </w:rPr>
        <w:t xml:space="preserve">Isotermas de adsorción. Operaciones líquido-sólido en etapas. Soluciones analíticas. Distribución óptima del adsorbente. Adsorción de gases y líquidos en lechos fijos. Análisis de la onda de adsorción. Intercambio iónico.</w:t>
      </w:r>
    </w:p>
    <w:p w:rsidR="00000000" w:rsidDel="00000000" w:rsidP="00000000" w:rsidRDefault="00000000" w:rsidRPr="00000000" w14:paraId="00000030">
      <w:pPr>
        <w:rPr>
          <w:rFonts w:ascii="Roboto" w:cs="Roboto" w:eastAsia="Roboto" w:hAnsi="Roboto"/>
        </w:rPr>
      </w:pPr>
      <w:r w:rsidDel="00000000" w:rsidR="00000000" w:rsidRPr="00000000">
        <w:rPr>
          <w:rFonts w:ascii="Roboto" w:cs="Roboto" w:eastAsia="Roboto" w:hAnsi="Roboto"/>
          <w:b w:val="1"/>
          <w:rtl w:val="0"/>
        </w:rPr>
        <w:t xml:space="preserve">Bibliografía</w:t>
      </w:r>
      <w:r w:rsidDel="00000000" w:rsidR="00000000" w:rsidRPr="00000000">
        <w:rPr>
          <w:rFonts w:ascii="Roboto" w:cs="Roboto" w:eastAsia="Roboto" w:hAnsi="Roboto"/>
          <w:rtl w:val="0"/>
        </w:rPr>
        <w:t xml:space="preserve">: Treybal, Maddox, Sherwood.</w:t>
      </w:r>
    </w:p>
    <w:p w:rsidR="00000000" w:rsidDel="00000000" w:rsidP="00000000" w:rsidRDefault="00000000" w:rsidRPr="00000000" w14:paraId="00000031">
      <w:pPr>
        <w:pStyle w:val="Heading2"/>
        <w:rPr/>
      </w:pPr>
      <w:bookmarkStart w:colFirst="0" w:colLast="0" w:name="_vy5oju7kp0ee" w:id="12"/>
      <w:bookmarkEnd w:id="12"/>
      <w:r w:rsidDel="00000000" w:rsidR="00000000" w:rsidRPr="00000000">
        <w:rPr>
          <w:rtl w:val="0"/>
        </w:rPr>
        <w:t xml:space="preserve">UNIDAD 12 Operaciones adicionales</w:t>
      </w:r>
    </w:p>
    <w:p w:rsidR="00000000" w:rsidDel="00000000" w:rsidP="00000000" w:rsidRDefault="00000000" w:rsidRPr="00000000" w14:paraId="00000032">
      <w:pPr>
        <w:rPr>
          <w:rFonts w:ascii="Roboto" w:cs="Roboto" w:eastAsia="Roboto" w:hAnsi="Roboto"/>
        </w:rPr>
      </w:pPr>
      <w:r w:rsidDel="00000000" w:rsidR="00000000" w:rsidRPr="00000000">
        <w:rPr>
          <w:rFonts w:ascii="Roboto" w:cs="Roboto" w:eastAsia="Roboto" w:hAnsi="Roboto"/>
          <w:rtl w:val="0"/>
        </w:rPr>
        <w:t xml:space="preserve">Separación a través de membranas. Otras.</w:t>
      </w:r>
    </w:p>
    <w:p w:rsidR="00000000" w:rsidDel="00000000" w:rsidP="00000000" w:rsidRDefault="00000000" w:rsidRPr="00000000" w14:paraId="00000033">
      <w:pPr>
        <w:rPr>
          <w:rFonts w:ascii="Roboto" w:cs="Roboto" w:eastAsia="Roboto" w:hAnsi="Roboto"/>
        </w:rPr>
      </w:pPr>
      <w:r w:rsidDel="00000000" w:rsidR="00000000" w:rsidRPr="00000000">
        <w:rPr>
          <w:rtl w:val="0"/>
        </w:rPr>
      </w:r>
    </w:p>
    <w:p w:rsidR="00000000" w:rsidDel="00000000" w:rsidP="00000000" w:rsidRDefault="00000000" w:rsidRPr="00000000" w14:paraId="00000034">
      <w:pPr>
        <w:pStyle w:val="Heading2"/>
        <w:rPr/>
      </w:pPr>
      <w:bookmarkStart w:colFirst="0" w:colLast="0" w:name="_5ts89gu6sbfc" w:id="13"/>
      <w:bookmarkEnd w:id="13"/>
      <w:r w:rsidDel="00000000" w:rsidR="00000000" w:rsidRPr="00000000">
        <w:rPr>
          <w:rtl w:val="0"/>
        </w:rPr>
        <w:t xml:space="preserve">BIBLIOGRAFÍA</w:t>
      </w:r>
    </w:p>
    <w:p w:rsidR="00000000" w:rsidDel="00000000" w:rsidP="00000000" w:rsidRDefault="00000000" w:rsidRPr="00000000" w14:paraId="00000035">
      <w:pPr>
        <w:pStyle w:val="Heading3"/>
        <w:rPr/>
      </w:pPr>
      <w:bookmarkStart w:colFirst="0" w:colLast="0" w:name="_myiljyuv5lk" w:id="14"/>
      <w:bookmarkEnd w:id="14"/>
      <w:r w:rsidDel="00000000" w:rsidR="00000000" w:rsidRPr="00000000">
        <w:rPr>
          <w:rtl w:val="0"/>
        </w:rPr>
        <w:t xml:space="preserve">Básica</w:t>
      </w:r>
    </w:p>
    <w:p w:rsidR="00000000" w:rsidDel="00000000" w:rsidP="00000000" w:rsidRDefault="00000000" w:rsidRPr="00000000" w14:paraId="00000036">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Treybal, R.E. Mass Transfer Operations, 3rd De. Mc Graw Hill, 1980.</w:t>
      </w:r>
    </w:p>
    <w:p w:rsidR="00000000" w:rsidDel="00000000" w:rsidP="00000000" w:rsidRDefault="00000000" w:rsidRPr="00000000" w14:paraId="00000037">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Sherwood, T.K. Pigford, R.L. Wilke, Ch R. Transferencia de Masa, De Géminis, 1979.</w:t>
      </w:r>
    </w:p>
    <w:p w:rsidR="00000000" w:rsidDel="00000000" w:rsidP="00000000" w:rsidRDefault="00000000" w:rsidRPr="00000000" w14:paraId="00000038">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Hines, A.L. Maddox, R.N. Mass Transfer, Prentice Hall, 1985.</w:t>
      </w:r>
    </w:p>
    <w:p w:rsidR="00000000" w:rsidDel="00000000" w:rsidP="00000000" w:rsidRDefault="00000000" w:rsidRPr="00000000" w14:paraId="00000039">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Henley, E.J. Seader, J.D. Equilibrium Stage Separation Operations in Chemical Engineering, John Wiley &amp; Sons, NY 1981.</w:t>
      </w:r>
    </w:p>
    <w:p w:rsidR="00000000" w:rsidDel="00000000" w:rsidP="00000000" w:rsidRDefault="00000000" w:rsidRPr="00000000" w14:paraId="0000003A">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King, C.J. Separation Processes, Mc Graw Hill, 2d De, 1980.</w:t>
      </w:r>
    </w:p>
    <w:p w:rsidR="00000000" w:rsidDel="00000000" w:rsidP="00000000" w:rsidRDefault="00000000" w:rsidRPr="00000000" w14:paraId="0000003B">
      <w:pPr>
        <w:pStyle w:val="Heading3"/>
        <w:spacing w:after="80" w:line="273.6" w:lineRule="auto"/>
        <w:rPr/>
      </w:pPr>
      <w:bookmarkStart w:colFirst="0" w:colLast="0" w:name="_8nt08m8omwzl" w:id="15"/>
      <w:bookmarkEnd w:id="15"/>
      <w:r w:rsidDel="00000000" w:rsidR="00000000" w:rsidRPr="00000000">
        <w:rPr>
          <w:rtl w:val="0"/>
        </w:rPr>
        <w:t xml:space="preserve">Complementaria</w:t>
      </w:r>
    </w:p>
    <w:p w:rsidR="00000000" w:rsidDel="00000000" w:rsidP="00000000" w:rsidRDefault="00000000" w:rsidRPr="00000000" w14:paraId="0000003C">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Perry, H.R. Chilton C.H., Chemical Engineers Handbook, Mc. Graw Hill 6 De, 1983.</w:t>
      </w:r>
    </w:p>
    <w:p w:rsidR="00000000" w:rsidDel="00000000" w:rsidP="00000000" w:rsidRDefault="00000000" w:rsidRPr="00000000" w14:paraId="0000003D">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Cussler, E.L. Diffusion. Mass Transfer in Fluid Systems, Cambridge University Press, 1984.</w:t>
      </w:r>
    </w:p>
    <w:p w:rsidR="00000000" w:rsidDel="00000000" w:rsidP="00000000" w:rsidRDefault="00000000" w:rsidRPr="00000000" w14:paraId="0000003E">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Schweitzer, P.A. Editor Handbook of Separation Techniques for Chemical Engineers, Mc Graw Hill, 1979.</w:t>
      </w:r>
    </w:p>
    <w:p w:rsidR="00000000" w:rsidDel="00000000" w:rsidP="00000000" w:rsidRDefault="00000000" w:rsidRPr="00000000" w14:paraId="0000003F">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Treybal, R.E. Liquid Extraction, 2da De. Mc Graw Hill Book Co NY 1963.</w:t>
      </w:r>
    </w:p>
    <w:p w:rsidR="00000000" w:rsidDel="00000000" w:rsidP="00000000" w:rsidRDefault="00000000" w:rsidRPr="00000000" w14:paraId="00000040">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Sawitowsky, H., Métodos de cálculo en los procesos de transferencia de material, Alhambra SA, Madrid, 1967.</w:t>
      </w:r>
    </w:p>
    <w:p w:rsidR="00000000" w:rsidDel="00000000" w:rsidP="00000000" w:rsidRDefault="00000000" w:rsidRPr="00000000" w14:paraId="00000041">
      <w:pPr>
        <w:spacing w:after="80" w:line="273.6" w:lineRule="auto"/>
        <w:ind w:left="0" w:firstLine="0"/>
        <w:rPr>
          <w:rFonts w:ascii="Roboto" w:cs="Roboto" w:eastAsia="Roboto" w:hAnsi="Roboto"/>
        </w:rPr>
      </w:pPr>
      <w:r w:rsidDel="00000000" w:rsidR="00000000" w:rsidRPr="00000000">
        <w:rPr>
          <w:rtl w:val="0"/>
        </w:rPr>
      </w:r>
    </w:p>
    <w:p w:rsidR="00000000" w:rsidDel="00000000" w:rsidP="00000000" w:rsidRDefault="00000000" w:rsidRPr="00000000" w14:paraId="00000042">
      <w:pPr>
        <w:spacing w:after="80" w:line="273.6" w:lineRule="auto"/>
        <w:ind w:left="720" w:firstLine="0"/>
        <w:rPr>
          <w:rFonts w:ascii="Roboto" w:cs="Roboto" w:eastAsia="Roboto" w:hAnsi="Roboto"/>
        </w:rPr>
      </w:pPr>
      <w:r w:rsidDel="00000000" w:rsidR="00000000" w:rsidRPr="00000000">
        <w:rPr>
          <w:rtl w:val="0"/>
        </w:rPr>
      </w:r>
    </w:p>
    <w:sectPr>
      <w:headerReference r:id="rId6" w:type="default"/>
      <w:headerReference r:id="rId7" w:type="first"/>
      <w:footerReference r:id="rId8" w:type="default"/>
      <w:footerReference r:id="rId9" w:type="first"/>
      <w:pgSz w:h="16838" w:w="11906"/>
      <w:pgMar w:bottom="1133.8582677165355" w:top="1133.8582677165355" w:left="1133.8582677165355" w:right="1133.8582677165355"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B">
    <w:pPr>
      <w:jc w:val="right"/>
      <w:rPr>
        <w:color w:val="16a085"/>
      </w:rPr>
    </w:pPr>
    <w:r w:rsidDel="00000000" w:rsidR="00000000" w:rsidRPr="00000000">
      <w:rPr>
        <w:color w:val="16a085"/>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C">
    <w:pPr>
      <w:jc w:val="right"/>
      <w:rPr>
        <w:rFonts w:ascii="Roboto" w:cs="Roboto" w:eastAsia="Roboto" w:hAnsi="Roboto"/>
        <w:color w:val="16a085"/>
      </w:rPr>
    </w:pPr>
    <w:r w:rsidDel="00000000" w:rsidR="00000000" w:rsidRPr="00000000">
      <w:rPr>
        <w:rFonts w:ascii="Roboto" w:cs="Roboto" w:eastAsia="Roboto" w:hAnsi="Roboto"/>
        <w:color w:val="16a085"/>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3">
    <w:pPr>
      <w:spacing w:line="240" w:lineRule="auto"/>
      <w:rPr>
        <w:rFonts w:ascii="Roboto" w:cs="Roboto" w:eastAsia="Roboto" w:hAnsi="Roboto"/>
        <w:sz w:val="4"/>
        <w:szCs w:val="4"/>
      </w:rPr>
    </w:pPr>
    <w:r w:rsidDel="00000000" w:rsidR="00000000" w:rsidRPr="00000000">
      <w:rPr>
        <w:rtl w:val="0"/>
      </w:rPr>
    </w:r>
  </w:p>
  <w:tbl>
    <w:tblPr>
      <w:tblStyle w:val="Table2"/>
      <w:tblW w:w="9630.0" w:type="dxa"/>
      <w:jc w:val="center"/>
      <w:tblLayout w:type="fixed"/>
      <w:tblLook w:val="0600"/>
    </w:tblPr>
    <w:tblGrid>
      <w:gridCol w:w="1245"/>
      <w:gridCol w:w="2550"/>
      <w:gridCol w:w="1275"/>
      <w:gridCol w:w="1350"/>
      <w:gridCol w:w="1230"/>
      <w:gridCol w:w="1980"/>
      <w:tblGridChange w:id="0">
        <w:tblGrid>
          <w:gridCol w:w="1245"/>
          <w:gridCol w:w="2550"/>
          <w:gridCol w:w="1275"/>
          <w:gridCol w:w="1350"/>
          <w:gridCol w:w="1230"/>
          <w:gridCol w:w="1980"/>
        </w:tblGrid>
      </w:tblGridChange>
    </w:tblGrid>
    <w:tr>
      <w:trPr>
        <w:trHeight w:val="1140" w:hRule="atLeast"/>
      </w:trPr>
      <w:tc>
        <w:tcPr>
          <w:shd w:fill="auto" w:val="clear"/>
          <w:tcMar>
            <w:top w:w="0.0" w:type="dxa"/>
            <w:left w:w="0.0" w:type="dxa"/>
            <w:bottom w:w="0.0" w:type="dxa"/>
            <w:right w:w="0.0" w:type="dxa"/>
          </w:tcMar>
          <w:vAlign w:val="center"/>
        </w:tcPr>
        <w:p w:rsidR="00000000" w:rsidDel="00000000" w:rsidP="00000000" w:rsidRDefault="00000000" w:rsidRPr="00000000" w14:paraId="00000044">
          <w:pPr>
            <w:spacing w:after="40" w:line="264" w:lineRule="auto"/>
            <w:jc w:val="left"/>
            <w:rPr>
              <w:rFonts w:ascii="Lora" w:cs="Lora" w:eastAsia="Lora" w:hAnsi="Lora"/>
              <w:b w:val="1"/>
              <w:sz w:val="18"/>
              <w:szCs w:val="18"/>
            </w:rPr>
          </w:pPr>
          <w:r w:rsidDel="00000000" w:rsidR="00000000" w:rsidRPr="00000000">
            <w:rPr>
              <w:rFonts w:ascii="Lora" w:cs="Lora" w:eastAsia="Lora" w:hAnsi="Lora"/>
              <w:b w:val="1"/>
              <w:sz w:val="18"/>
              <w:szCs w:val="18"/>
            </w:rPr>
            <w:drawing>
              <wp:inline distB="114300" distT="114300" distL="114300" distR="114300">
                <wp:extent cx="762000" cy="617175"/>
                <wp:effectExtent b="0" l="0" r="0" t="0"/>
                <wp:docPr id="1" name="image3.png"/>
                <a:graphic>
                  <a:graphicData uri="http://schemas.openxmlformats.org/drawingml/2006/picture">
                    <pic:pic>
                      <pic:nvPicPr>
                        <pic:cNvPr id="0" name="image3.png"/>
                        <pic:cNvPicPr preferRelativeResize="0"/>
                      </pic:nvPicPr>
                      <pic:blipFill>
                        <a:blip r:embed="rId1"/>
                        <a:srcRect b="9744" l="0" r="0" t="9031"/>
                        <a:stretch>
                          <a:fillRect/>
                        </a:stretch>
                      </pic:blipFill>
                      <pic:spPr>
                        <a:xfrm>
                          <a:off x="0" y="0"/>
                          <a:ext cx="762000" cy="6171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Departamento de Ingeniería Química y en Alimentos</w:t>
          </w:r>
        </w:p>
      </w:tc>
      <w:tc>
        <w:tcPr>
          <w:shd w:fill="auto" w:val="clear"/>
          <w:tcMar>
            <w:top w:w="0.0" w:type="dxa"/>
            <w:left w:w="0.0" w:type="dxa"/>
            <w:bottom w:w="0.0" w:type="dxa"/>
            <w:right w:w="0.0" w:type="dxa"/>
          </w:tcMar>
          <w:vAlign w:val="center"/>
        </w:tcPr>
        <w:p w:rsidR="00000000" w:rsidDel="00000000" w:rsidP="00000000" w:rsidRDefault="00000000" w:rsidRPr="00000000" w14:paraId="00000046">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819150" cy="642938"/>
                <wp:effectExtent b="0" l="0" r="0" t="0"/>
                <wp:docPr id="2" name="image4.png"/>
                <a:graphic>
                  <a:graphicData uri="http://schemas.openxmlformats.org/drawingml/2006/picture">
                    <pic:pic>
                      <pic:nvPicPr>
                        <pic:cNvPr id="0" name="image4.png"/>
                        <pic:cNvPicPr preferRelativeResize="0"/>
                      </pic:nvPicPr>
                      <pic:blipFill>
                        <a:blip r:embed="rId2"/>
                        <a:srcRect b="8720" l="0" r="0" t="12790"/>
                        <a:stretch>
                          <a:fillRect/>
                        </a:stretch>
                      </pic:blipFill>
                      <pic:spPr>
                        <a:xfrm>
                          <a:off x="0" y="0"/>
                          <a:ext cx="819150" cy="642938"/>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Facultad de Ingeniería</w:t>
          </w:r>
        </w:p>
      </w:tc>
      <w:tc>
        <w:tcPr>
          <w:shd w:fill="auto" w:val="clear"/>
          <w:tcMar>
            <w:top w:w="0.0" w:type="dxa"/>
            <w:left w:w="0.0" w:type="dxa"/>
            <w:bottom w:w="0.0" w:type="dxa"/>
            <w:right w:w="0.0" w:type="dxa"/>
          </w:tcMar>
          <w:vAlign w:val="center"/>
        </w:tcPr>
        <w:p w:rsidR="00000000" w:rsidDel="00000000" w:rsidP="00000000" w:rsidRDefault="00000000" w:rsidRPr="00000000" w14:paraId="00000048">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544875" cy="544875"/>
                <wp:effectExtent b="0" l="0" r="0" t="0"/>
                <wp:docPr id="3"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544875" cy="5448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Universidad Nacional de Mar del Plata</w:t>
          </w:r>
        </w:p>
      </w:tc>
    </w:tr>
  </w:tbl>
  <w:p w:rsidR="00000000" w:rsidDel="00000000" w:rsidP="00000000" w:rsidRDefault="00000000" w:rsidRPr="00000000" w14:paraId="0000004A">
    <w:pPr>
      <w:spacing w:line="240" w:lineRule="auto"/>
      <w:rPr/>
    </w:pPr>
    <w:r w:rsidDel="00000000" w:rsidR="00000000" w:rsidRPr="00000000">
      <w:pict>
        <v:rect style="width:0.0pt;height:1.5pt" o:hr="t" o:hrstd="t" o:hralign="center" fillcolor="#A0A0A0" stroked="f"/>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jc w:val="center"/>
    </w:pPr>
    <w:rPr>
      <w:rFonts w:ascii="Roboto" w:cs="Roboto" w:eastAsia="Roboto" w:hAnsi="Roboto"/>
      <w:b w:val="1"/>
      <w:color w:val="16a085"/>
      <w:sz w:val="32"/>
      <w:szCs w:val="32"/>
    </w:rPr>
  </w:style>
  <w:style w:type="paragraph" w:styleId="Heading2">
    <w:name w:val="heading 2"/>
    <w:basedOn w:val="Normal"/>
    <w:next w:val="Normal"/>
    <w:pPr>
      <w:keepNext w:val="1"/>
      <w:keepLines w:val="1"/>
      <w:spacing w:after="40" w:before="200" w:line="271.2" w:lineRule="auto"/>
    </w:pPr>
    <w:rPr>
      <w:rFonts w:ascii="Roboto" w:cs="Roboto" w:eastAsia="Roboto" w:hAnsi="Roboto"/>
      <w:b w:val="1"/>
      <w:color w:val="16a085"/>
      <w:sz w:val="28"/>
      <w:szCs w:val="28"/>
    </w:rPr>
  </w:style>
  <w:style w:type="paragraph" w:styleId="Heading3">
    <w:name w:val="heading 3"/>
    <w:basedOn w:val="Normal"/>
    <w:next w:val="Normal"/>
    <w:pPr>
      <w:keepNext w:val="1"/>
      <w:keepLines w:val="1"/>
      <w:spacing w:after="80" w:before="320" w:line="273.6" w:lineRule="auto"/>
    </w:pPr>
    <w:rPr>
      <w:rFonts w:ascii="Roboto" w:cs="Roboto" w:eastAsia="Roboto" w:hAnsi="Roboto"/>
      <w:b w:val="1"/>
      <w:i w:val="1"/>
      <w:color w:val="434343"/>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