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Roboto" w:cs="Roboto" w:eastAsia="Roboto" w:hAnsi="Roboto"/>
          <w:sz w:val="16"/>
          <w:szCs w:val="16"/>
        </w:rPr>
      </w:pPr>
      <w:r w:rsidDel="00000000" w:rsidR="00000000" w:rsidRPr="00000000">
        <w:rPr>
          <w:rtl w:val="0"/>
        </w:rPr>
      </w:r>
    </w:p>
    <w:tbl>
      <w:tblPr>
        <w:tblStyle w:val="Table1"/>
        <w:tblW w:w="9630.0" w:type="dxa"/>
        <w:jc w:val="center"/>
        <w:tblLayout w:type="fixed"/>
        <w:tblLook w:val="0600"/>
      </w:tblPr>
      <w:tblGrid>
        <w:gridCol w:w="1710"/>
        <w:gridCol w:w="5865"/>
        <w:gridCol w:w="855"/>
        <w:gridCol w:w="1200"/>
        <w:tblGridChange w:id="0">
          <w:tblGrid>
            <w:gridCol w:w="1710"/>
            <w:gridCol w:w="5865"/>
            <w:gridCol w:w="855"/>
            <w:gridCol w:w="1200"/>
          </w:tblGrid>
        </w:tblGridChange>
      </w:tblGrid>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2">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CARRERA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Ingeniería Química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4">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PLAN</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2003</w:t>
            </w:r>
          </w:p>
        </w:tc>
      </w:tr>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6">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ASIGNATURA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Química General II</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8">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COD.</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9">
            <w:pPr>
              <w:widowControl w:val="0"/>
              <w:spacing w:line="240" w:lineRule="auto"/>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1BB</w:t>
            </w:r>
          </w:p>
        </w:tc>
      </w:tr>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TIPO</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Obligatoria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tc>
      </w:tr>
    </w:tbl>
    <w:p w:rsidR="00000000" w:rsidDel="00000000" w:rsidP="00000000" w:rsidRDefault="00000000" w:rsidRPr="00000000" w14:paraId="0000000E">
      <w:pPr>
        <w:rPr>
          <w:rFonts w:ascii="Roboto" w:cs="Roboto" w:eastAsia="Roboto" w:hAnsi="Robo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pStyle w:val="Heading1"/>
        <w:rPr>
          <w:sz w:val="32"/>
          <w:szCs w:val="32"/>
        </w:rPr>
      </w:pPr>
      <w:bookmarkStart w:colFirst="0" w:colLast="0" w:name="_nddimbltco0o" w:id="0"/>
      <w:bookmarkEnd w:id="0"/>
      <w:r w:rsidDel="00000000" w:rsidR="00000000" w:rsidRPr="00000000">
        <w:rPr>
          <w:rtl w:val="0"/>
        </w:rPr>
        <w:t xml:space="preserve">PROGRAMA ANALÍTICO</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0">
      <w:pPr>
        <w:jc w:val="center"/>
        <w:rPr>
          <w:rFonts w:ascii="Roboto" w:cs="Roboto" w:eastAsia="Roboto" w:hAnsi="Roboto"/>
          <w:sz w:val="20"/>
          <w:szCs w:val="20"/>
        </w:rPr>
      </w:pPr>
      <w:r w:rsidDel="00000000" w:rsidR="00000000" w:rsidRPr="00000000">
        <w:rPr>
          <w:rFonts w:ascii="Roboto" w:cs="Roboto" w:eastAsia="Roboto" w:hAnsi="Roboto"/>
          <w:sz w:val="20"/>
          <w:szCs w:val="20"/>
          <w:rtl w:val="0"/>
        </w:rPr>
        <w:t xml:space="preserve">(A partir del Ciclo Lectivo 2017)</w:t>
      </w:r>
    </w:p>
    <w:p w:rsidR="00000000" w:rsidDel="00000000" w:rsidP="00000000" w:rsidRDefault="00000000" w:rsidRPr="00000000" w14:paraId="00000011">
      <w:pPr>
        <w:pStyle w:val="Heading2"/>
        <w:rPr/>
      </w:pPr>
      <w:bookmarkStart w:colFirst="0" w:colLast="0" w:name="_j2y2k8kimjvx" w:id="1"/>
      <w:bookmarkEnd w:id="1"/>
      <w:r w:rsidDel="00000000" w:rsidR="00000000" w:rsidRPr="00000000">
        <w:rPr>
          <w:rtl w:val="0"/>
        </w:rPr>
        <w:t xml:space="preserve">UNIDAD 1: Reacciones de Transferencia de Protones y Electrones.</w:t>
      </w:r>
    </w:p>
    <w:p w:rsidR="00000000" w:rsidDel="00000000" w:rsidP="00000000" w:rsidRDefault="00000000" w:rsidRPr="00000000" w14:paraId="00000012">
      <w:pPr>
        <w:rPr>
          <w:rFonts w:ascii="Roboto" w:cs="Roboto" w:eastAsia="Roboto" w:hAnsi="Roboto"/>
        </w:rPr>
      </w:pPr>
      <w:r w:rsidDel="00000000" w:rsidR="00000000" w:rsidRPr="00000000">
        <w:rPr>
          <w:rFonts w:ascii="Roboto" w:cs="Roboto" w:eastAsia="Roboto" w:hAnsi="Roboto"/>
          <w:rtl w:val="0"/>
        </w:rPr>
        <w:t xml:space="preserve">Ácidos y bases: Teoría de Arrhenius, Teoría de Brönsted-Lowry, Teoría de Lewis. Concepto de nucleófilo y electrófilo. Fuerza de ácidos y bases. Reglas de Pauling. Hidrólisis de sales. Efecto ión común. Soluciones reguladoras de pH. Constante del producto de solubilidad. Formación iones complejos.Reacciones redox. Estabilidad redox de las especies químicas en solución acuosa.</w:t>
      </w:r>
    </w:p>
    <w:p w:rsidR="00000000" w:rsidDel="00000000" w:rsidP="00000000" w:rsidRDefault="00000000" w:rsidRPr="00000000" w14:paraId="00000013">
      <w:pPr>
        <w:pStyle w:val="Heading2"/>
        <w:rPr/>
      </w:pPr>
      <w:bookmarkStart w:colFirst="0" w:colLast="0" w:name="_rsptukwammce" w:id="2"/>
      <w:bookmarkEnd w:id="2"/>
      <w:r w:rsidDel="00000000" w:rsidR="00000000" w:rsidRPr="00000000">
        <w:rPr>
          <w:rtl w:val="0"/>
        </w:rPr>
        <w:t xml:space="preserve">UNIDAD 2: Solubilidad.</w:t>
      </w:r>
    </w:p>
    <w:p w:rsidR="00000000" w:rsidDel="00000000" w:rsidP="00000000" w:rsidRDefault="00000000" w:rsidRPr="00000000" w14:paraId="00000014">
      <w:pPr>
        <w:rPr>
          <w:rFonts w:ascii="Roboto" w:cs="Roboto" w:eastAsia="Roboto" w:hAnsi="Roboto"/>
        </w:rPr>
      </w:pPr>
      <w:r w:rsidDel="00000000" w:rsidR="00000000" w:rsidRPr="00000000">
        <w:rPr>
          <w:rFonts w:ascii="Roboto" w:cs="Roboto" w:eastAsia="Roboto" w:hAnsi="Roboto"/>
          <w:rtl w:val="0"/>
        </w:rPr>
        <w:t xml:space="preserve">Factores que determinan la solubilidad de compuestos químicos. Soluciones gas-líquido. Ley de Henry. Soluciones Líquido-líquido. Soluciones ideales. Ley de Raoult. Destilación simple y fraccionada. Regla de la palanca. Desviaciones de la idealidad. Sistemas con azeótropo de máxima y con azeótropo de mínima. Líquidos parcialmente miscibles. Líquidos inmiscibles. Destilación por arrastre de vapor. Soluciones sólido-líquido. Curvas de solubilidad. Propiedades coligativas. Determinación de pesos moleculares.</w:t>
      </w:r>
    </w:p>
    <w:p w:rsidR="00000000" w:rsidDel="00000000" w:rsidP="00000000" w:rsidRDefault="00000000" w:rsidRPr="00000000" w14:paraId="00000015">
      <w:pPr>
        <w:pStyle w:val="Heading2"/>
        <w:rPr/>
      </w:pPr>
      <w:bookmarkStart w:colFirst="0" w:colLast="0" w:name="_conkl1gux2f9" w:id="3"/>
      <w:bookmarkEnd w:id="3"/>
      <w:r w:rsidDel="00000000" w:rsidR="00000000" w:rsidRPr="00000000">
        <w:rPr>
          <w:rtl w:val="0"/>
        </w:rPr>
        <w:t xml:space="preserve">UNIDAD 3: Cinética Química.</w:t>
      </w:r>
    </w:p>
    <w:p w:rsidR="00000000" w:rsidDel="00000000" w:rsidP="00000000" w:rsidRDefault="00000000" w:rsidRPr="00000000" w14:paraId="00000016">
      <w:pPr>
        <w:rPr>
          <w:rFonts w:ascii="Roboto" w:cs="Roboto" w:eastAsia="Roboto" w:hAnsi="Roboto"/>
        </w:rPr>
      </w:pPr>
      <w:r w:rsidDel="00000000" w:rsidR="00000000" w:rsidRPr="00000000">
        <w:rPr>
          <w:rFonts w:ascii="Roboto" w:cs="Roboto" w:eastAsia="Roboto" w:hAnsi="Roboto"/>
          <w:rtl w:val="0"/>
        </w:rPr>
        <w:t xml:space="preserve">Factores que afectan la velocidad de las reacciones químicas. Ley de velocidad. Determinación orden de reacción: método de las velocidades iniciales, método integral. Tiempo de vida media. Teoría de las colisiones y Teoría del Complejo Activado. Efecto de la temperatura: ecuación de Arrhenius. Energía de activación. Mecanismos de reacción. Reacciones elementales. Catálisis homogénea, catálisis heterogénea y catálisis enzimática. Reacciones en cadena.</w:t>
      </w:r>
    </w:p>
    <w:p w:rsidR="00000000" w:rsidDel="00000000" w:rsidP="00000000" w:rsidRDefault="00000000" w:rsidRPr="00000000" w14:paraId="00000017">
      <w:pPr>
        <w:pStyle w:val="Heading2"/>
        <w:rPr/>
      </w:pPr>
      <w:bookmarkStart w:colFirst="0" w:colLast="0" w:name="_5k4z471i3mkm" w:id="4"/>
      <w:bookmarkEnd w:id="4"/>
      <w:r w:rsidDel="00000000" w:rsidR="00000000" w:rsidRPr="00000000">
        <w:rPr>
          <w:rtl w:val="0"/>
        </w:rPr>
        <w:t xml:space="preserve">UNIDAD 4: Radioquímica.</w:t>
      </w:r>
    </w:p>
    <w:p w:rsidR="00000000" w:rsidDel="00000000" w:rsidP="00000000" w:rsidRDefault="00000000" w:rsidRPr="00000000" w14:paraId="00000018">
      <w:pPr>
        <w:rPr>
          <w:rFonts w:ascii="Roboto" w:cs="Roboto" w:eastAsia="Roboto" w:hAnsi="Roboto"/>
        </w:rPr>
      </w:pPr>
      <w:r w:rsidDel="00000000" w:rsidR="00000000" w:rsidRPr="00000000">
        <w:rPr>
          <w:rFonts w:ascii="Roboto" w:cs="Roboto" w:eastAsia="Roboto" w:hAnsi="Roboto"/>
          <w:rtl w:val="0"/>
        </w:rPr>
        <w:t xml:space="preserve">El núcleo atómico y partículas subatómicas. Estabilidad de núclidos. Reacciones de transmutación nuclear. Series radiactivas naturales. Ley de velocidad. Fisión nuclear. Reactores nucleares. Fusión nuclear.</w:t>
      </w:r>
    </w:p>
    <w:p w:rsidR="00000000" w:rsidDel="00000000" w:rsidP="00000000" w:rsidRDefault="00000000" w:rsidRPr="00000000" w14:paraId="00000019">
      <w:pPr>
        <w:pStyle w:val="Heading2"/>
        <w:rPr/>
      </w:pPr>
      <w:bookmarkStart w:colFirst="0" w:colLast="0" w:name="_5ts89gu6sbfc" w:id="5"/>
      <w:bookmarkEnd w:id="5"/>
      <w:r w:rsidDel="00000000" w:rsidR="00000000" w:rsidRPr="00000000">
        <w:rPr>
          <w:rtl w:val="0"/>
        </w:rPr>
        <w:t xml:space="preserve">BIBLIOGRAFÍA</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"Química: Un Curso Universitario", B.H. Mahan, Fondo Educativo Interamericano.</w:t>
      </w:r>
    </w:p>
    <w:p w:rsidR="00000000" w:rsidDel="00000000" w:rsidP="00000000" w:rsidRDefault="00000000" w:rsidRPr="00000000" w14:paraId="0000001C">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"Química Básica: Principios y Estructura", J.E. Brady y G.E. Humiston, Ed. Limusa.</w:t>
      </w:r>
    </w:p>
    <w:p w:rsidR="00000000" w:rsidDel="00000000" w:rsidP="00000000" w:rsidRDefault="00000000" w:rsidRPr="00000000" w14:paraId="0000001D">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“Química”. Raimond Chang. Mc Graw Hill (1990).</w:t>
      </w:r>
    </w:p>
    <w:p w:rsidR="00000000" w:rsidDel="00000000" w:rsidP="00000000" w:rsidRDefault="00000000" w:rsidRPr="00000000" w14:paraId="0000001E">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“Química General”; Whitten. Mc Graw Hill (1990).</w:t>
      </w:r>
    </w:p>
    <w:sectPr>
      <w:headerReference r:id="rId6" w:type="default"/>
      <w:headerReference r:id="rId7" w:type="first"/>
      <w:footerReference r:id="rId8" w:type="default"/>
      <w:footerReference r:id="rId9" w:type="first"/>
      <w:pgSz w:h="16838" w:w="11906"/>
      <w:pgMar w:bottom="1133.8582677165355" w:top="1133.8582677165355" w:left="1133.8582677165355" w:right="1133.8582677165355" w:header="566.9291338582677" w:footer="566.92913385826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7">
    <w:pPr>
      <w:jc w:val="right"/>
      <w:rPr>
        <w:color w:val="16a085"/>
      </w:rPr>
    </w:pPr>
    <w:r w:rsidDel="00000000" w:rsidR="00000000" w:rsidRPr="00000000">
      <w:rPr>
        <w:color w:val="16a085"/>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8">
    <w:pPr>
      <w:jc w:val="right"/>
      <w:rPr>
        <w:rFonts w:ascii="Roboto" w:cs="Roboto" w:eastAsia="Roboto" w:hAnsi="Roboto"/>
        <w:color w:val="16a085"/>
      </w:rPr>
    </w:pPr>
    <w:r w:rsidDel="00000000" w:rsidR="00000000" w:rsidRPr="00000000">
      <w:rPr>
        <w:rFonts w:ascii="Roboto" w:cs="Roboto" w:eastAsia="Roboto" w:hAnsi="Roboto"/>
        <w:color w:val="16a085"/>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F">
    <w:pPr>
      <w:spacing w:line="240" w:lineRule="auto"/>
      <w:rPr>
        <w:rFonts w:ascii="Roboto" w:cs="Roboto" w:eastAsia="Roboto" w:hAnsi="Roboto"/>
        <w:sz w:val="4"/>
        <w:szCs w:val="4"/>
      </w:rPr>
    </w:pPr>
    <w:r w:rsidDel="00000000" w:rsidR="00000000" w:rsidRPr="00000000">
      <w:rPr>
        <w:rtl w:val="0"/>
      </w:rPr>
    </w:r>
  </w:p>
  <w:tbl>
    <w:tblPr>
      <w:tblStyle w:val="Table2"/>
      <w:tblW w:w="9630.0" w:type="dxa"/>
      <w:jc w:val="center"/>
      <w:tblLayout w:type="fixed"/>
      <w:tblLook w:val="0600"/>
    </w:tblPr>
    <w:tblGrid>
      <w:gridCol w:w="1245"/>
      <w:gridCol w:w="2550"/>
      <w:gridCol w:w="1275"/>
      <w:gridCol w:w="1350"/>
      <w:gridCol w:w="1230"/>
      <w:gridCol w:w="1980"/>
      <w:tblGridChange w:id="0">
        <w:tblGrid>
          <w:gridCol w:w="1245"/>
          <w:gridCol w:w="2550"/>
          <w:gridCol w:w="1275"/>
          <w:gridCol w:w="1350"/>
          <w:gridCol w:w="1230"/>
          <w:gridCol w:w="1980"/>
        </w:tblGrid>
      </w:tblGridChange>
    </w:tblGrid>
    <w:tr>
      <w:trPr>
        <w:trHeight w:val="1140" w:hRule="atLeast"/>
      </w:trPr>
      <w:tc>
        <w:tcPr>
          <w:shd w:fill="auto" w:val="clear"/>
          <w:tcMar>
            <w:top w:w="0.0" w:type="dxa"/>
            <w:left w:w="0.0" w:type="dxa"/>
            <w:bottom w:w="0.0" w:type="dxa"/>
            <w:right w:w="0.0" w:type="dxa"/>
          </w:tcMar>
          <w:vAlign w:val="center"/>
        </w:tcPr>
        <w:p w:rsidR="00000000" w:rsidDel="00000000" w:rsidP="00000000" w:rsidRDefault="00000000" w:rsidRPr="00000000" w14:paraId="00000020">
          <w:pPr>
            <w:spacing w:after="40" w:line="264" w:lineRule="auto"/>
            <w:jc w:val="left"/>
            <w:rPr>
              <w:rFonts w:ascii="Lora" w:cs="Lora" w:eastAsia="Lora" w:hAnsi="Lora"/>
              <w:b w:val="1"/>
              <w:sz w:val="18"/>
              <w:szCs w:val="18"/>
            </w:rPr>
          </w:pPr>
          <w:r w:rsidDel="00000000" w:rsidR="00000000" w:rsidRPr="00000000">
            <w:rPr>
              <w:rFonts w:ascii="Lora" w:cs="Lora" w:eastAsia="Lora" w:hAnsi="Lora"/>
              <w:b w:val="1"/>
              <w:sz w:val="18"/>
              <w:szCs w:val="18"/>
            </w:rPr>
            <w:drawing>
              <wp:inline distB="114300" distT="114300" distL="114300" distR="114300">
                <wp:extent cx="762000" cy="617175"/>
                <wp:effectExtent b="0" l="0" r="0" t="0"/>
                <wp:docPr id="1" name="image3.png"/>
                <a:graphic>
                  <a:graphicData uri="http://schemas.openxmlformats.org/drawingml/2006/picture">
                    <pic:pic>
                      <pic:nvPicPr>
                        <pic:cNvPr id="0" name="image3.png"/>
                        <pic:cNvPicPr preferRelativeResize="0"/>
                      </pic:nvPicPr>
                      <pic:blipFill>
                        <a:blip r:embed="rId1"/>
                        <a:srcRect b="9744" l="0" r="0" t="9031"/>
                        <a:stretch>
                          <a:fillRect/>
                        </a:stretch>
                      </pic:blipFill>
                      <pic:spPr>
                        <a:xfrm>
                          <a:off x="0" y="0"/>
                          <a:ext cx="762000" cy="617175"/>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Departamento de Ingeniería Química y en Alimentos</w:t>
          </w:r>
        </w:p>
      </w:tc>
      <w:tc>
        <w:tcPr>
          <w:shd w:fill="auto" w:val="clear"/>
          <w:tcMar>
            <w:top w:w="0.0" w:type="dxa"/>
            <w:left w:w="0.0" w:type="dxa"/>
            <w:bottom w:w="0.0" w:type="dxa"/>
            <w:right w:w="0.0" w:type="dxa"/>
          </w:tcMar>
          <w:vAlign w:val="center"/>
        </w:tcPr>
        <w:p w:rsidR="00000000" w:rsidDel="00000000" w:rsidP="00000000" w:rsidRDefault="00000000" w:rsidRPr="00000000" w14:paraId="00000022">
          <w:pPr>
            <w:spacing w:after="40" w:line="264" w:lineRule="auto"/>
            <w:jc w:val="right"/>
            <w:rPr>
              <w:rFonts w:ascii="Lora" w:cs="Lora" w:eastAsia="Lora" w:hAnsi="Lora"/>
              <w:sz w:val="18"/>
              <w:szCs w:val="18"/>
            </w:rPr>
          </w:pPr>
          <w:r w:rsidDel="00000000" w:rsidR="00000000" w:rsidRPr="00000000">
            <w:rPr>
              <w:rFonts w:ascii="Lora" w:cs="Lora" w:eastAsia="Lora" w:hAnsi="Lora"/>
              <w:sz w:val="18"/>
              <w:szCs w:val="18"/>
            </w:rPr>
            <w:drawing>
              <wp:inline distB="114300" distT="114300" distL="114300" distR="114300">
                <wp:extent cx="819150" cy="642938"/>
                <wp:effectExtent b="0" l="0" r="0" t="0"/>
                <wp:docPr id="2" name="image4.png"/>
                <a:graphic>
                  <a:graphicData uri="http://schemas.openxmlformats.org/drawingml/2006/picture">
                    <pic:pic>
                      <pic:nvPicPr>
                        <pic:cNvPr id="0" name="image4.png"/>
                        <pic:cNvPicPr preferRelativeResize="0"/>
                      </pic:nvPicPr>
                      <pic:blipFill>
                        <a:blip r:embed="rId2"/>
                        <a:srcRect b="8720" l="0" r="0" t="12790"/>
                        <a:stretch>
                          <a:fillRect/>
                        </a:stretch>
                      </pic:blipFill>
                      <pic:spPr>
                        <a:xfrm>
                          <a:off x="0" y="0"/>
                          <a:ext cx="819150" cy="642938"/>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Facultad de Ingeniería</w:t>
          </w:r>
        </w:p>
      </w:tc>
      <w:tc>
        <w:tcPr>
          <w:shd w:fill="auto" w:val="clear"/>
          <w:tcMar>
            <w:top w:w="0.0" w:type="dxa"/>
            <w:left w:w="0.0" w:type="dxa"/>
            <w:bottom w:w="0.0" w:type="dxa"/>
            <w:right w:w="0.0" w:type="dxa"/>
          </w:tcMar>
          <w:vAlign w:val="center"/>
        </w:tcPr>
        <w:p w:rsidR="00000000" w:rsidDel="00000000" w:rsidP="00000000" w:rsidRDefault="00000000" w:rsidRPr="00000000" w14:paraId="00000024">
          <w:pPr>
            <w:spacing w:after="40" w:line="264" w:lineRule="auto"/>
            <w:jc w:val="right"/>
            <w:rPr>
              <w:rFonts w:ascii="Lora" w:cs="Lora" w:eastAsia="Lora" w:hAnsi="Lora"/>
              <w:sz w:val="18"/>
              <w:szCs w:val="18"/>
            </w:rPr>
          </w:pPr>
          <w:r w:rsidDel="00000000" w:rsidR="00000000" w:rsidRPr="00000000">
            <w:rPr>
              <w:rFonts w:ascii="Lora" w:cs="Lora" w:eastAsia="Lora" w:hAnsi="Lora"/>
              <w:sz w:val="18"/>
              <w:szCs w:val="18"/>
            </w:rPr>
            <w:drawing>
              <wp:inline distB="114300" distT="114300" distL="114300" distR="114300">
                <wp:extent cx="544875" cy="544875"/>
                <wp:effectExtent b="0" l="0" r="0" t="0"/>
                <wp:docPr id="3" name="image5.png"/>
                <a:graphic>
                  <a:graphicData uri="http://schemas.openxmlformats.org/drawingml/2006/picture">
                    <pic:pic>
                      <pic:nvPicPr>
                        <pic:cNvPr id="0" name="image5.png"/>
                        <pic:cNvPicPr preferRelativeResize="0"/>
                      </pic:nvPicPr>
                      <pic:blipFill>
                        <a:blip r:embed="rId3"/>
                        <a:srcRect b="0" l="0" r="0" t="0"/>
                        <a:stretch>
                          <a:fillRect/>
                        </a:stretch>
                      </pic:blipFill>
                      <pic:spPr>
                        <a:xfrm>
                          <a:off x="0" y="0"/>
                          <a:ext cx="544875" cy="544875"/>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Universidad Nacional de Mar del Plata</w:t>
          </w:r>
        </w:p>
      </w:tc>
    </w:tr>
  </w:tbl>
  <w:p w:rsidR="00000000" w:rsidDel="00000000" w:rsidP="00000000" w:rsidRDefault="00000000" w:rsidRPr="00000000" w14:paraId="00000026">
    <w:pPr>
      <w:spacing w:line="240" w:lineRule="auto"/>
      <w:rPr/>
    </w:pPr>
    <w:r w:rsidDel="00000000" w:rsidR="00000000" w:rsidRPr="00000000">
      <w:pict>
        <v:rect style="width:0.0pt;height:1.5pt" o:hr="t" o:hrstd="t" o:hralign="center" fillcolor="#A0A0A0" stroked="f"/>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jc w:val="center"/>
    </w:pPr>
    <w:rPr>
      <w:rFonts w:ascii="Roboto" w:cs="Roboto" w:eastAsia="Roboto" w:hAnsi="Roboto"/>
      <w:b w:val="1"/>
      <w:color w:val="16a085"/>
      <w:sz w:val="32"/>
      <w:szCs w:val="32"/>
    </w:rPr>
  </w:style>
  <w:style w:type="paragraph" w:styleId="Heading2">
    <w:name w:val="heading 2"/>
    <w:basedOn w:val="Normal"/>
    <w:next w:val="Normal"/>
    <w:pPr>
      <w:keepNext w:val="1"/>
      <w:keepLines w:val="1"/>
      <w:spacing w:after="40" w:before="200" w:line="271.2" w:lineRule="auto"/>
    </w:pPr>
    <w:rPr>
      <w:rFonts w:ascii="Roboto" w:cs="Roboto" w:eastAsia="Roboto" w:hAnsi="Roboto"/>
      <w:b w:val="1"/>
      <w:color w:val="16a085"/>
      <w:sz w:val="28"/>
      <w:szCs w:val="28"/>
    </w:rPr>
  </w:style>
  <w:style w:type="paragraph" w:styleId="Heading3">
    <w:name w:val="heading 3"/>
    <w:basedOn w:val="Normal"/>
    <w:next w:val="Normal"/>
    <w:pPr>
      <w:keepNext w:val="1"/>
      <w:keepLines w:val="1"/>
      <w:spacing w:after="80" w:before="320" w:line="273.6" w:lineRule="auto"/>
    </w:pPr>
    <w:rPr>
      <w:rFonts w:ascii="Roboto" w:cs="Roboto" w:eastAsia="Roboto" w:hAnsi="Roboto"/>
      <w:b w:val="1"/>
      <w:i w:val="1"/>
      <w:color w:val="434343"/>
      <w:sz w:val="24"/>
      <w:szCs w:val="24"/>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Lora-regular.ttf"/><Relationship Id="rId6" Type="http://schemas.openxmlformats.org/officeDocument/2006/relationships/font" Target="fonts/Lora-bold.ttf"/><Relationship Id="rId7" Type="http://schemas.openxmlformats.org/officeDocument/2006/relationships/font" Target="fonts/Lora-italic.ttf"/><Relationship Id="rId8" Type="http://schemas.openxmlformats.org/officeDocument/2006/relationships/font" Target="fonts/Lora-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 Id="rId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